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7592d1_8k.htm"/>
      <w:bookmarkStart w:id="1" w:name="kstm2627592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1013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13,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2825"/>
        <w:gridCol w:w="60"/>
        <w:gridCol w:w="1295"/>
        <w:gridCol w:w="60"/>
        <w:gridCol w:w="1775"/>
      </w:tblGrid>
      <w:tr>
        <w:trPr/>
        <w:tc>
          <w:tcPr>
            <w:tcW w:w="282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D_edei--EntityFileNumber_c20261013"/>
            <w:bookmarkEnd w:id="6"/>
            <w:r>
              <w:rPr>
                <w:b/>
                <w:sz w:val="20"/>
              </w:rPr>
              <w:t>001-36751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B_edei--EntityTaxIdentificationNum"/>
            <w:bookmarkEnd w:id="7"/>
            <w:r>
              <w:rPr>
                <w:b/>
                <w:sz w:val="20"/>
              </w:rPr>
              <w:t>04-3522315</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11 Great Valley Parkway</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Malvern, </w:t>
      </w:r>
      <w:bookmarkStart w:id="10" w:name="xdx_90B_edei--EntityAddressStateOrProvin"/>
      <w:bookmarkEnd w:id="10"/>
      <w:r>
        <w:rPr>
          <w:rFonts w:ascii="Times New Roman;Times;Serif" w:hAnsi="Times New Roman;Times;Serif"/>
          <w:b/>
          <w:i w:val="false"/>
          <w:caps w:val="false"/>
          <w:smallCaps w:val="false"/>
          <w:sz w:val="20"/>
        </w:rPr>
        <w:t xml:space="preserve">Pennsylvania </w:t>
      </w:r>
      <w:bookmarkStart w:id="11" w:name="xdx_905_edei--EntityAddressPostalZipCode"/>
      <w:bookmarkEnd w:id="11"/>
      <w:r>
        <w:rPr>
          <w:rFonts w:ascii="Times New Roman;Times;Serif" w:hAnsi="Times New Roman;Times;Serif"/>
          <w:b/>
          <w:i w:val="false"/>
          <w:caps w:val="false"/>
          <w:smallCaps w:val="false"/>
          <w:sz w:val="20"/>
        </w:rPr>
        <w:t>19355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4_edei--CityAreaCode_c20261013__20"/>
      <w:bookmarkEnd w:id="12"/>
      <w:r>
        <w:rPr>
          <w:rFonts w:ascii="Times New Roman;Times;Serif" w:hAnsi="Times New Roman;Times;Serif"/>
          <w:b/>
          <w:i w:val="false"/>
          <w:caps w:val="false"/>
          <w:smallCaps w:val="false"/>
          <w:sz w:val="20"/>
        </w:rPr>
        <w:t xml:space="preserve">484) </w:t>
      </w:r>
      <w:bookmarkStart w:id="13" w:name="xdx_904_edei--LocalPhoneNumber_c20261013"/>
      <w:bookmarkEnd w:id="13"/>
      <w:r>
        <w:rPr>
          <w:rFonts w:ascii="Times New Roman;Times;Serif" w:hAnsi="Times New Roman;Times;Serif"/>
          <w:b/>
          <w:i w:val="false"/>
          <w:caps w:val="false"/>
          <w:smallCaps w:val="false"/>
          <w:sz w:val="20"/>
        </w:rPr>
        <w:t>328-4701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5_edei--SolicitingMaterial_c202610"/>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E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3410"/>
        <w:gridCol w:w="60"/>
        <w:gridCol w:w="860"/>
        <w:gridCol w:w="60"/>
        <w:gridCol w:w="255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C_edei--Security12bTitle_c20261013"/>
            <w:bookmarkEnd w:id="18"/>
            <w:r>
              <w:rPr>
                <w:rFonts w:ascii="Times New Roman;Times;Serif" w:hAnsi="Times New Roman;Times;Serif"/>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1013__2"/>
            <w:bookmarkEnd w:id="19"/>
            <w:r>
              <w:rPr>
                <w:rFonts w:ascii="Times New Roman;Times;Serif" w:hAnsi="Times New Roman;Times;Serif"/>
                <w:sz w:val="20"/>
              </w:rPr>
              <w:t>OCGN</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040"/>
        <w:gridCol w:w="4505"/>
      </w:tblGrid>
      <w:tr>
        <w:trPr/>
        <w:tc>
          <w:tcPr>
            <w:tcW w:w="10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1.01.</w:t>
            </w:r>
          </w:p>
        </w:tc>
        <w:tc>
          <w:tcPr>
            <w:tcW w:w="450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Ocugen, Inc. (the “Company” or “Ocugen”) entered into an Exclusive License Agreement (the “License Agreement”) with Roots Pharmaceutical Company WLL (“Roots”), pursuant to which Roots was granted an exclusive, non-sublicensable, royalty-bearing license to (i) make, have made, manufacture, import, export, distribute, use, have used, keep, sell, have sold, or offer for sale, including to research, develop, commercialize, register, modify, enhance, improve, or otherwise exploit OCU400 (the “licensed product”)—Ocugen’s novel modifier gene therapy for retinitis pigmentosa (“RP”) in certain countries in the Middle East and North Africa (“the Territory”) and (ii) to use the trademark selected by Ocugen in the Territory solely in connection with the licensed product in gene therapy for the treatment of RP in humans.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Roots will have sole control over preparing, filing and maintaining regulatory submissions and communicating with regulatory authorities in the Territory. Roots has agreed to use commercially reasonable efforts to develop, seek, register and obtain regulatory approval for, and to commercialize, the licensed product in the Territory. The Company will own the global safety database with respect to the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License Agreement, the Company will receive (i) an up-front license fee and potential regulatory and development milestone payments of up to $4 million in the aggregate; and (ii) payments upon achievement of certain sales milestones of up to $255.0 million. Additionally, Ocugen will receive a royalty of 22% on net sales of the licensed product generated by Roots in the Territory. On October 13, 2026, Ocugen and Roots also entered into a commercial supply agreement, pursuant to which Ocugen will manufacture and supply the licensed product to Roots.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and the licenses granted thereunder will continue in force until the last to occur of: (a) the 20 year anniversary of the date of the first commercial sale of the licensed product in the Territory; (b) the expiration of the last valid claim of a patent right within the licensor patent rights in the Territory; and (c) the expiration of the market exclusivity, including any regulatory exclusivity for the licensed product in the Territory, and on such date the License Agreement and the licenses granted thereunder will terminate automatically. In addition, the License Agreement contains customary termination provisions in the event of an uncured material breach or upon certain corporate actions or events, including bankruptcy, receivership,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material terms of the License Agreement is qualified in its entirety by the terms of the License Agreement, a copy of which will be filed as an exhibit to the Company’s Annual Report on Form 10-K for the fiscal year ending December 31, 2026 to be filed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2026, the Company issued a press release announcing the execution of the License Agreement. A copy of the press release is furnished hereto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and is incorporated herein by reference. The information contained in this Item 7.01 and Exhibit 99.1 shall not be deemed to be “filed” for the purposes of Section 18 of the Exchange Act, or otherwise subject to the liabilities of such section, nor will such information be deemed incorporated by reference in any filing under the Securities Act of 1933, as amended, or the Securities Exchange Act of 1934, as amended, except as may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8.01</w:t>
            </w:r>
          </w:p>
        </w:tc>
        <w:tc>
          <w:tcPr>
            <w:tcW w:w="1445" w:type="dxa"/>
            <w:tcBorders/>
            <w:vAlign w:val="center"/>
          </w:tcPr>
          <w:p>
            <w:pPr>
              <w:pStyle w:val="TableContents"/>
              <w:bidi w:val="0"/>
              <w:spacing w:before="0" w:after="283"/>
              <w:jc w:val="left"/>
              <w:rPr/>
            </w:pPr>
            <w:r>
              <w:rPr>
                <w:rFonts w:ascii="Times New Roman;Times;Serif" w:hAnsi="Times New Roman;Times;Serif"/>
                <w:b/>
              </w:rPr>
              <w:t>Other Events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Board of Directors (the “Board”) of the Company determined to postpone the Special Meeting of Stockholders of the Company (the “Special Meeting”), which was previously adjourned to October 26, 2026, solely with respect to the proposal to approve the adoption of an amendment to the Company’s Sixth Amended and Restated Certificate of Incorporation, as amended, to increase the number of authorized shares of common stock, par value $0.01 per share, by 250,000,000 shares (“Proposal 1”). The Special Meeting is postponed in order to provide additional time for stockholders to consider and vote on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on Tuesday, December 22, 2026, at 8:00 am, Eastern Time, virtually at www.virtualshareholdermeeting.com/OCGN2026SM2.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close of business on October 30, 2026 will be the new record date for the determination of stockholders of the Company entitled to vote at the Special Meeting. The Company intends to file Definitive Additional Materials on Schedule 14A with the SEC related to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READ THE PROXY STATEMENT FILED BY THE COMPANY ON JULY 30, 2026, AS WELL AS DEFINITIVE ADDITIONAL MATERIALS AND ANY OTHER RELEVANT SOLICITATION MATERIALS WHEN THEY BECOME AVAILABLE, CAREFULLY AND IN THEIR ENTIRETY BECAUSE THESE DOCUMENTS CONTAIN IMPORTANT INFORMATION CONCERNING PROPOSAL 1 TO BE VOTED ON AT THE SPECIAL MEETING.</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w:t>
            </w:r>
          </w:p>
        </w:tc>
      </w:tr>
      <w:tr>
        <w:trPr/>
        <w:tc>
          <w:tcPr>
            <w:tcW w:w="665" w:type="dxa"/>
            <w:tcBorders/>
            <w:tcMar>
              <w:bottom w:w="0" w:type="dxa"/>
            </w:tcMar>
            <w:vAlign w:val="center"/>
          </w:tcPr>
          <w:p>
            <w:pPr>
              <w:pStyle w:val="TableContents"/>
              <w:bidi w:val="0"/>
              <w:spacing w:before="0" w:after="283"/>
              <w:jc w:val="left"/>
              <w:rPr/>
            </w:pPr>
            <w:hyperlink w:anchor="tm2627592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tm2627592d1_ex99-1.htm">
              <w:r>
                <w:rPr>
                  <w:rStyle w:val="InternetLink"/>
                  <w:rFonts w:ascii="Times New Roman;Times;Serif" w:hAnsi="Times New Roman;Times;Serif"/>
                  <w:b w:val="false"/>
                  <w:i w:val="false"/>
                  <w:caps w:val="false"/>
                  <w:smallCaps w:val="false"/>
                  <w:sz w:val="20"/>
                </w:rPr>
                <w:t>Press Release of the Company, dated October 14, 2026.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14, 2026</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365"/>
        <w:gridCol w:w="5420"/>
      </w:tblGrid>
      <w:tr>
        <w:trPr/>
        <w:tc>
          <w:tcPr>
            <w:tcW w:w="75" w:type="dxa"/>
            <w:tcBorders/>
            <w:vAlign w:val="center"/>
          </w:tcPr>
          <w:p>
            <w:pPr>
              <w:pStyle w:val="TableContents"/>
              <w:bidi w:val="0"/>
              <w:spacing w:before="0" w:after="283"/>
              <w:jc w:val="left"/>
              <w:rPr/>
            </w:pPr>
            <w:r>
              <w:rPr/>
              <w:t> </w:t>
            </w:r>
          </w:p>
        </w:tc>
        <w:tc>
          <w:tcPr>
            <w:tcW w:w="5785" w:type="dxa"/>
            <w:gridSpan w:val="2"/>
            <w:tcBorders/>
            <w:vAlign w:val="center"/>
          </w:tcPr>
          <w:p>
            <w:pPr>
              <w:pStyle w:val="TableContents"/>
              <w:bidi w:val="0"/>
              <w:spacing w:before="0" w:after="283"/>
              <w:jc w:val="left"/>
              <w:rPr/>
            </w:pPr>
            <w:r>
              <w:rPr/>
              <w:t>OCUGEN, INC.</w:t>
            </w:r>
          </w:p>
        </w:tc>
      </w:tr>
      <w:tr>
        <w:trPr/>
        <w:tc>
          <w:tcPr>
            <w:tcW w:w="75" w:type="dxa"/>
            <w:tcBorders/>
            <w:vAlign w:val="center"/>
          </w:tcPr>
          <w:p>
            <w:pPr>
              <w:pStyle w:val="TableContents"/>
              <w:bidi w:val="0"/>
              <w:spacing w:before="0" w:after="283"/>
              <w:jc w:val="left"/>
              <w:rPr/>
            </w:pPr>
            <w:r>
              <w:rPr/>
              <w:t> </w:t>
            </w:r>
          </w:p>
        </w:tc>
        <w:tc>
          <w:tcPr>
            <w:tcW w:w="57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420" w:type="dxa"/>
            <w:tcBorders>
              <w:bottom w:val="single" w:sz="8" w:space="0" w:color="000000"/>
            </w:tcBorders>
            <w:tcMar>
              <w:bottom w:w="28" w:type="dxa"/>
            </w:tcMar>
            <w:vAlign w:val="center"/>
          </w:tcPr>
          <w:p>
            <w:pPr>
              <w:pStyle w:val="TableContents"/>
              <w:bidi w:val="0"/>
              <w:spacing w:before="0" w:after="283"/>
              <w:jc w:val="left"/>
              <w:rPr/>
            </w:pPr>
            <w:r>
              <w:rPr/>
              <w:t>/s/ Shankar Musunuri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Name: Shankar Musunuri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2" w:name="tm2627592d1_ex99-1.htm"/>
      <w:bookmarkStart w:id="23" w:name="kstm2627592d1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02790" cy="1179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2790" cy="11798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and Roots Pharmaceutical Complete License Agreement for OCU400 Modifier Gene Therapy for Retinitis Pigmentosa in the Middle East and North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Establishes strategic commercial reach across the Middle East and North Africa, advancing Ocugen’s goal of enabling global patient access to potentially transformational gene therapies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Expands access to a potential one-time gene therapy for retinitis pigmentosa in a region with high disease prevalence and substantial unmet need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includes upfront license fee and initial development payments up to $4 million, potential sales milestones up to $255 million, and royalties equaling 22% of net sales; Ocugen will manufacture and supply OCU400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Oct. 14, 2026 (GLOBE NEWSWIRE) -- Ocugen, Inc. (“Ocugen” or the “Company”) (NASDAQ: OCGN), a pioneering biotechnology leader in gene therapies for blindness diseases, today announced the execution of a licensing agreement with Roots Pharmaceutical, and its strategic partner Al-Dhow International Holding, for the exclusive rights to OCU400, Ocugen's novel modifier gene therapy for the treatment of Retinitis Pigmentosa (RP), in the Middle East and North Africa (MENA)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License Agreement, Ocugen will receive an upfront license fee and potential initial development milestone payments of up to $4 million, in the aggregate, as well as potential sales milestone payments of up to $255 million, and royalties equaling 22% of OCU400 net sales generated by Roots Pharmaceutical. Ocugen will manufacture the commercial supply of OCU400 under terms of a related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believes RP is a leading cause of inherited vision loss globally, with a particularly significant unmet need across the MENA region, where the prevalence of RP is estimated to be 10 to 20 times higher than in the U.S. and EU. Through OCU400, Roots Pharmaceutical aims to help address this substantial unmet need by potentially providing a treatment option for people in the MENA region living with RP and facing progressive vision loss and potential blindness.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5"/>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By partnering with Roots Pharmaceutical, an established leader with strong reach across the Middle East and North Africa, we are expanding our ability to bring our potential one-time gene therapy to patients in a region where retinitis pigmentosa is highly prevalent and the unmet medical need is significant,” said Dr. Shankar Musunuri, Chairman, Chief Executive Officer and Co-founder of Ocugen. “This agreement represents another important step in our strategy to build strong regional partnerships and expand global access to our potentially transformational gene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Roots Pharmaceutical is an established and rapidly growing pharmaceutical company serving key markets across the MENA region. With more than two decades of operating experience and expertise in commercializing innovative medicines, the company’s regional capabilities and established healthcare relationships position it as a strong partner for bringing OCU400 to RP patients across MENA.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reflects Roots' commitment to bringing breakthrough gene therapies to the Middle East and North Africa, leading and shaping the treatment paradigm for our patients, which is our main objective," said Dr. Islam Zayed, Chief Executive Officer and Co-Founder of Roots Pharmaceutical. "OCU400 has the potential to change the outlook, and the lives, of patients living with retinitis pigmentosa. We look forward to working closely with Ocugen to build the diagnosis-to-treatment pathway that gene therapy requires across our markets, and to exploring further collaboration across Ocugen's ophthalmology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continues to advance OCU400 through its Phase 3 liMeliGhT clinical trial with a topline data readout expected in the first quarter of 2027, followed by global regulatory submissions, including a Biologics License Application in the U.S. and a Marketing Authorization Application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Ocugen, Inc. is a pioneering biotechnology company developing gene therapies for blindness diseases. The Company’s breakthrough modifier gene therapy platform has the potential to address significant unmet medical needs across large patient populations through a gene-agnostic approach. Unlike traditional gene therapies and gene-editing technologies that target a single gene mutation, Ocugen’s modifier gene therapies are designed to address the underlying disease biology by restoring balance across multiple gene networks. The Company is currently advancing programs for inherited retinal diseases and other causes of blindness that affect millions worldwide, including retinitis pigmentosa, Stargardt disease, and geographic atrophy, an advanced form of dry age-related macular degeneration. Discover more at </w:t>
      </w:r>
      <w:r>
        <w:rPr>
          <w:rFonts w:ascii="Times New Roman;Times;Serif" w:hAnsi="Times New Roman;Times;Serif"/>
          <w:b w:val="false"/>
          <w:i w:val="false"/>
          <w:caps w:val="false"/>
          <w:smallCaps w:val="false"/>
          <w:sz w:val="20"/>
          <w:u w:val="single"/>
        </w:rPr>
        <w:t>www.ocugen.com</w:t>
      </w:r>
      <w:r>
        <w:rPr>
          <w:rFonts w:ascii="Times New Roman;Times;Serif" w:hAnsi="Times New Roman;Times;Serif"/>
          <w:b w:val="false"/>
          <w:i w:val="false"/>
          <w:caps w:val="false"/>
          <w:smallCaps w:val="false"/>
          <w:sz w:val="20"/>
        </w:rPr>
        <w:t xml:space="preserve"> and follow the Company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Roots Pharmaceutical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Kuwait in 2006, Roots Pharmaceutical is a fully integrated healthcare provider specializing in commercializing innovative therapies, medical devices, and an aesthetic line across the Middle East and North Africa. It is led by a team with over 25 years of pharmaceutical industry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Roots Pharmaceuticals has established a direct commercial presence in the MENA region (Middle East and North Africa), mainly in GCC countries and key North African countries, with a therapeutic portfolio spanning neurology, hematology, oncology, rare diseases, dermatology, cardiovascular, medical devices and aesthetic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30+ global partners and a $300M+ product pipeline, Roots Pharmaceutical and its strategic partner Al-Dhow Group are committed to delivering meaningful healthcare impact across the MENA region through innovation, access and excellence. Its operations are ISO 9001:2015-certified and externally audited by PwC.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but not limited to, statements regarding the anticipated benefits to Ocugen of the definitive license agreement and supply agreement with Roots Pharmaceutical Company, as well as statements regarding strategy, the potential amounts of milestone payments and royalty payments that may be received under the license agreement, business plans and objectives for Ocugen’s clinical programs, plans and timelines for the preclinical and clinical development of Ocugen’s product candidates, including the therapeutic potential, clinical benefits and safety thereof, expectations regarding timing, success and data announcements of current ongoing preclinical and clinical trials, including the timing of data readouts and marketing applications, the ability to initiate new clinical programs, statements regarding qualitative assessments of available data, potential benefits, expectations for ongoing clinical trials, anticipated regulatory filings and anticipated development timelines, statements regarding potential market size and commercial possibilities of Ocugen’s product candidates, which are subject to risks and uncertainties. Ocugen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Ocugen’s current expectations, including, but not limited to, the risks that the license agreement and supply agreement with Roots Pharmaceutical Company will not lead to the current anticipated benefits to Ocugen;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may not be predictive of the results or success of later clinical trials; and that clinical trial data are subject to differing interpretations and assessments, including by regulatory authorities. These and other risks and uncertainties are more fully described in Ocugen’s filings with the Securities and Exchange Commission (SEC), including the risk factors described in the section entitled “Risk Factors” in the quarterly and annual reports that Ocugen files with the SEC. Any forward-looking statements that Ocugen makes in this press release speak only as of the date of this press release. Except as required by law, Ocugen assumes no obligation to update forward-looking statements contained in this press release whether as a result of new information, future events, or otherwise,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Candice Masse, astr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candice.masse@astrpartners.com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Clark, Ocugen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chris.clark@ocugen.com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2498</Words>
  <Characters>14398</Characters>
  <CharactersWithSpaces>16906</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