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500" w:right="160" w:hanging="5331"/>
        <w:spacing w:after="0" w:line="237" w:lineRule="auto"/>
        <w:tabs>
          <w:tab w:leader="none" w:pos="76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5500" w:right="120" w:hanging="5366"/>
        <w:spacing w:after="0" w:line="262" w:lineRule="auto"/>
        <w:tabs>
          <w:tab w:leader="none" w:pos="784"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OCUGEN,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700" w:type="dxa"/>
            <w:vAlign w:val="bottom"/>
            <w:gridSpan w:val="4"/>
          </w:tcPr>
          <w:p>
            <w:pPr>
              <w:jc w:val="center"/>
              <w:ind w:right="38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60" w:type="dxa"/>
            <w:vAlign w:val="bottom"/>
            <w:gridSpan w:val="3"/>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rPr>
              <w:t>04-3522315</w:t>
            </w:r>
          </w:p>
        </w:tc>
        <w:tc>
          <w:tcPr>
            <w:tcW w:w="0" w:type="dxa"/>
            <w:vAlign w:val="bottom"/>
          </w:tcPr>
          <w:p>
            <w:pPr>
              <w:spacing w:after="0"/>
              <w:rPr>
                <w:sz w:val="1"/>
                <w:szCs w:val="1"/>
                <w:color w:val="auto"/>
              </w:rPr>
            </w:pPr>
          </w:p>
        </w:tc>
      </w:tr>
      <w:tr>
        <w:trPr>
          <w:trHeight w:val="216"/>
        </w:trPr>
        <w:tc>
          <w:tcPr>
            <w:tcW w:w="7160" w:type="dxa"/>
            <w:vAlign w:val="bottom"/>
            <w:gridSpan w:val="5"/>
          </w:tcPr>
          <w:p>
            <w:pPr>
              <w:jc w:val="center"/>
              <w:ind w:right="1357"/>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60" w:type="dxa"/>
            <w:vAlign w:val="bottom"/>
            <w:gridSpan w:val="3"/>
          </w:tcPr>
          <w:p>
            <w:pPr>
              <w:jc w:val="center"/>
              <w:ind w:right="2259"/>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7160" w:type="dxa"/>
            <w:vAlign w:val="bottom"/>
            <w:gridSpan w:val="5"/>
          </w:tcPr>
          <w:p>
            <w:pPr>
              <w:jc w:val="center"/>
              <w:ind w:right="1357"/>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260" w:type="dxa"/>
            <w:vAlign w:val="bottom"/>
            <w:gridSpan w:val="3"/>
          </w:tcPr>
          <w:p>
            <w:pPr>
              <w:jc w:val="center"/>
              <w:ind w:right="2279"/>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 Great Valley Parkway, Suite 160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Malvern, Pennsylvania 19355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960" w:type="dxa"/>
            <w:vAlign w:val="bottom"/>
            <w:gridSpan w:val="7"/>
          </w:tcPr>
          <w:p>
            <w:pPr>
              <w:jc w:val="center"/>
              <w:ind w:right="23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4"/>
                <w:szCs w:val="24"/>
                <w:color w:val="auto"/>
              </w:rPr>
            </w:pPr>
          </w:p>
        </w:tc>
        <w:tc>
          <w:tcPr>
            <w:tcW w:w="47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(484) 328-4701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760" w:type="dxa"/>
            <w:vAlign w:val="bottom"/>
            <w:gridSpan w:val="6"/>
          </w:tcPr>
          <w:p>
            <w:pPr>
              <w:jc w:val="center"/>
              <w:ind w:right="3579"/>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24"/>
        </w:trPr>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460" w:type="dxa"/>
            <w:vAlign w:val="bottom"/>
          </w:tcPr>
          <w:p>
            <w:pPr>
              <w:spacing w:after="0"/>
              <w:rPr>
                <w:sz w:val="24"/>
                <w:szCs w:val="24"/>
                <w:color w:val="auto"/>
              </w:rPr>
            </w:pPr>
          </w:p>
        </w:tc>
        <w:tc>
          <w:tcPr>
            <w:tcW w:w="8960" w:type="dxa"/>
            <w:vAlign w:val="bottom"/>
            <w:gridSpan w:val="7"/>
          </w:tcPr>
          <w:p>
            <w:pPr>
              <w:jc w:val="center"/>
              <w:ind w:right="2379"/>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340"/>
        </w:trPr>
        <w:tc>
          <w:tcPr>
            <w:tcW w:w="2460" w:type="dxa"/>
            <w:vAlign w:val="bottom"/>
            <w:vMerge w:val="restart"/>
          </w:tcPr>
          <w:p>
            <w:pPr>
              <w:jc w:val="center"/>
              <w:ind w:left="113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246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2460" w:type="dxa"/>
            <w:vAlign w:val="bottom"/>
          </w:tcPr>
          <w:p>
            <w:pPr>
              <w:jc w:val="center"/>
              <w:ind w:left="1134"/>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OCGN</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Market LLC</w:t>
            </w:r>
          </w:p>
        </w:tc>
        <w:tc>
          <w:tcPr>
            <w:tcW w:w="0" w:type="dxa"/>
            <w:vAlign w:val="bottom"/>
          </w:tcPr>
          <w:p>
            <w:pPr>
              <w:spacing w:after="0"/>
              <w:rPr>
                <w:sz w:val="1"/>
                <w:szCs w:val="1"/>
                <w:color w:val="auto"/>
              </w:rPr>
            </w:pPr>
          </w:p>
        </w:tc>
      </w:tr>
    </w:tbl>
    <w:p>
      <w:pPr>
        <w:ind w:left="8460"/>
        <w:spacing w:after="0"/>
        <w:rPr>
          <w:sz w:val="20"/>
          <w:szCs w:val="20"/>
          <w:color w:val="auto"/>
        </w:rPr>
      </w:pPr>
      <w:r>
        <w:rPr>
          <w:rFonts w:ascii="Times New Roman" w:cs="Times New Roman" w:eastAsia="Times New Roman" w:hAnsi="Times New Roman"/>
          <w:sz w:val="18"/>
          <w:szCs w:val="18"/>
          <w:b w:val="1"/>
          <w:bCs w:val="1"/>
          <w:color w:val="auto"/>
        </w:rPr>
        <w:t>(The Nasdaq Capital Market)</w:t>
      </w:r>
    </w:p>
    <w:p>
      <w:pPr>
        <w:spacing w:after="0" w:line="207"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t>
            </w:r>
          </w:p>
        </w:tc>
        <w:tc>
          <w:tcPr>
            <w:tcW w:w="3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o</w:t>
            </w:r>
          </w:p>
        </w:tc>
      </w:tr>
      <w:tr>
        <w:trPr>
          <w:trHeight w:val="43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t>
            </w:r>
          </w:p>
        </w:tc>
        <w:tc>
          <w:tcPr>
            <w:tcW w:w="3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x</w:t>
            </w:r>
          </w:p>
        </w:tc>
      </w:tr>
      <w:tr>
        <w:trPr>
          <w:trHeight w:val="432"/>
        </w:trPr>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x</w:t>
            </w:r>
          </w:p>
        </w:tc>
      </w:tr>
    </w:tbl>
    <w:p>
      <w:pPr>
        <w:sectPr>
          <w:pgSz w:w="11900" w:h="16838" w:orient="portrait"/>
          <w:cols w:equalWidth="0" w:num="1">
            <w:col w:w="11420"/>
          </w:cols>
          <w:pgMar w:left="240" w:top="229" w:right="239" w:bottom="117"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62" w:lineRule="exact"/>
        <w:rPr>
          <w:sz w:val="20"/>
          <w:szCs w:val="20"/>
          <w:color w:val="auto"/>
        </w:rPr>
      </w:pPr>
    </w:p>
    <w:p>
      <w:pPr>
        <w:spacing w:after="0"/>
        <w:tabs>
          <w:tab w:leader="none" w:pos="8340" w:val="left"/>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 o</w:t>
        <w:tab/>
        <w:t>No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7, 2019, there were 16,003,916 outstanding shares of the registrant’s common stock, $0.01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5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580" w:type="dxa"/>
            <w:vAlign w:val="bottom"/>
            <w:gridSpan w:val="17"/>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58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as of September 30, 2019 and December 31, 2018</w:t>
              </w:r>
            </w:hyperlink>
          </w:p>
        </w:tc>
        <w:tc>
          <w:tcPr>
            <w:tcW w:w="2640" w:type="dxa"/>
            <w:vAlign w:val="bottom"/>
            <w:gridSpan w:val="4"/>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and Comprehensive Loss for the three and nine months ended</w:t>
              </w:r>
            </w:hyperlink>
          </w:p>
        </w:tc>
        <w:tc>
          <w:tcPr>
            <w:tcW w:w="10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September 30, 2019 and 2018</w:t>
              </w:r>
            </w:hyperlink>
          </w:p>
        </w:tc>
        <w:tc>
          <w:tcPr>
            <w:tcW w:w="706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Stockholders’ Equity (Deficit) for the three and nine months ended September 30,</w:t>
              </w:r>
            </w:hyperlink>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2019 and 2018</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 for the nine months ended September 30, 2019 and 2018</w:t>
              </w:r>
            </w:hyperlink>
          </w:p>
        </w:tc>
        <w:tc>
          <w:tcPr>
            <w:tcW w:w="138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w:t>
              </w:r>
            </w:hyperlink>
          </w:p>
        </w:tc>
        <w:tc>
          <w:tcPr>
            <w:tcW w:w="522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2.</w:t>
              </w:r>
            </w:hyperlink>
          </w:p>
        </w:tc>
        <w:tc>
          <w:tcPr>
            <w:tcW w:w="520" w:type="dxa"/>
            <w:vAlign w:val="bottom"/>
            <w:gridSpan w:val="3"/>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12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3.</w:t>
              </w:r>
            </w:hyperlink>
          </w:p>
        </w:tc>
        <w:tc>
          <w:tcPr>
            <w:tcW w:w="520" w:type="dxa"/>
            <w:vAlign w:val="bottom"/>
            <w:gridSpan w:val="3"/>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Quantitative and Qualitative Disclosures About Market Risk</w:t>
              </w:r>
            </w:hyperlink>
          </w:p>
        </w:tc>
        <w:tc>
          <w:tcPr>
            <w:tcW w:w="522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4.</w:t>
              </w:r>
            </w:hyperlink>
          </w:p>
        </w:tc>
        <w:tc>
          <w:tcPr>
            <w:tcW w:w="520" w:type="dxa"/>
            <w:vAlign w:val="bottom"/>
            <w:gridSpan w:val="3"/>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Controls and Procedures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PART II—OTHER INFORMATION</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1.</w:t>
              </w:r>
            </w:hyperlink>
          </w:p>
        </w:tc>
        <w:tc>
          <w:tcPr>
            <w:tcW w:w="520" w:type="dxa"/>
            <w:vAlign w:val="bottom"/>
            <w:gridSpan w:val="3"/>
          </w:tcPr>
          <w:p>
            <w:pPr>
              <w:spacing w:after="0"/>
              <w:rPr>
                <w:sz w:val="17"/>
                <w:szCs w:val="17"/>
                <w:color w:val="auto"/>
              </w:rPr>
            </w:pPr>
          </w:p>
        </w:tc>
        <w:tc>
          <w:tcPr>
            <w:tcW w:w="28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674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1A.</w:t>
              </w:r>
            </w:hyperlink>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Unregistered Sales of Equity Securities and Use of Proceeds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Item 3.</w:t>
              </w:r>
            </w:hyperlink>
          </w:p>
        </w:tc>
        <w:tc>
          <w:tcPr>
            <w:tcW w:w="520" w:type="dxa"/>
            <w:vAlign w:val="bottom"/>
            <w:gridSpan w:val="3"/>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91">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24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Item 4.</w:t>
              </w:r>
            </w:hyperlink>
          </w:p>
        </w:tc>
        <w:tc>
          <w:tcPr>
            <w:tcW w:w="520" w:type="dxa"/>
            <w:vAlign w:val="bottom"/>
            <w:gridSpan w:val="3"/>
          </w:tcPr>
          <w:p>
            <w:pPr>
              <w:spacing w:after="0"/>
              <w:rPr>
                <w:sz w:val="17"/>
                <w:szCs w:val="17"/>
                <w:color w:val="auto"/>
              </w:rPr>
            </w:pPr>
          </w:p>
        </w:tc>
        <w:tc>
          <w:tcPr>
            <w:tcW w:w="9580" w:type="dxa"/>
            <w:vAlign w:val="bottom"/>
            <w:gridSpan w:val="17"/>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Mine Safety Disclosures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91">
              <w:r>
                <w:rPr>
                  <w:rFonts w:ascii="Times New Roman" w:cs="Times New Roman" w:eastAsia="Times New Roman" w:hAnsi="Times New Roman"/>
                  <w:sz w:val="18"/>
                  <w:szCs w:val="18"/>
                  <w:color w:val="0000EE"/>
                  <w:w w:val="97"/>
                </w:rPr>
                <w:t>Item 5.</w:t>
              </w:r>
            </w:hyperlink>
          </w:p>
        </w:tc>
        <w:tc>
          <w:tcPr>
            <w:tcW w:w="520" w:type="dxa"/>
            <w:vAlign w:val="bottom"/>
            <w:gridSpan w:val="3"/>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Other Information</w:t>
              </w:r>
            </w:hyperlink>
          </w:p>
        </w:tc>
        <w:tc>
          <w:tcPr>
            <w:tcW w:w="782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92">
              <w:r>
                <w:rPr>
                  <w:rFonts w:ascii="Times New Roman" w:cs="Times New Roman" w:eastAsia="Times New Roman" w:hAnsi="Times New Roman"/>
                  <w:sz w:val="18"/>
                  <w:szCs w:val="18"/>
                  <w:color w:val="0000EE"/>
                  <w:w w:val="97"/>
                </w:rPr>
                <w:t>Item 6.</w:t>
              </w:r>
            </w:hyperlink>
          </w:p>
        </w:tc>
        <w:tc>
          <w:tcPr>
            <w:tcW w:w="52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92">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2"/>
          </w:tcPr>
          <w:p>
            <w:pPr>
              <w:spacing w:after="0"/>
              <w:rPr>
                <w:sz w:val="17"/>
                <w:szCs w:val="17"/>
                <w:color w:val="auto"/>
              </w:rPr>
            </w:pPr>
          </w:p>
        </w:tc>
        <w:tc>
          <w:tcPr>
            <w:tcW w:w="826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Signatures</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As previously announced, on September 27, 2019, Ocugen, Inc. (formerly known as Histogenics Corporation), completed its reverse merger with Ocugen Opco, Inc. (formerly known as Ocugen, Inc.) (“Former Ocugen”), in accordance with the terms of the Agreement and Plan of Merger and Reorganization, dated as of April 5, 2019, as amended, by and among Ocugen, Former Ocugen and a wholly owned subsidiary of Ocugen (“Merger Sub”) (the “Merger Agreement”), pursuant to which Merger Sub merged with and into Former Ocugen, with Former Ocugen surviving as a wholly owned subsidiary of Ocugen (the “Merger”).</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For accounting purposes, the Merger is treated as a “reverse asset acquisition” under generally acceptable accounting principles in the United States (“U.S. GAAP”) and Former Ocugen is considered the accounting acquirer. Accordingly, Former Ocugen’s historical results of operations will replace the Company’s historical results of operations for all periods prior to the Merger and, for all periods following the Merger, the results of operations of the combined company will be included in the Company’s financial statements.</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This quarterly report on Form 10-Q relates to the Company’s quarter ended September 30, 2019, which includes the date of the completion of the Merger and is therefore the Company’s first periodic report that includes results of operations for the combined company, including Former Ocugen.</w:t>
      </w:r>
    </w:p>
    <w:p>
      <w:pPr>
        <w:spacing w:after="0" w:line="15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the “combined company” “we,” “our” or “us” in this report refer to Ocugen, Inc. (formerly known as Histogenics Corporation) and its subsidiaries, references to “Ocugen” refer to the Company following the completion of the Merger, references to “Histogenics” refer to the Company prior to the completion of the Merger and references to “OpCo” refer to Ocugen OpCo, Inc., the Company’s wholly owned subsidiary following the Merger.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(the “Securities Act”), and Section 21E of the Securities Exchange Act of 1934, as amended (the “Exchange Act”), about Ocugen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Ocugen and its subsidiaries. We caution our stockholders and other readers not to place undue reliance on such statements.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read this report and the documents filed by the Company with the SEC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(i) the risk that Ocugen continues to incur significant losses from operations and continues to incur net losses; (ii) the risk that as a new business, Ocugen may encounter unforeseen expenses, difficulties, complications, delays and other known and unknown factors; (iii) the risk that as a result of adjustments to or exercise of the Pre-Merger Financing Warrants, stockholders of the combined company could be substantially and materially diluted; (iv) the uncertainties associated with the clinical development and regulatory approval of product candidates, including potential delays in the commencement, enrollment and completion of clinical trials;</w:t>
      </w:r>
    </w:p>
    <w:p>
      <w:pPr>
        <w:spacing w:after="0" w:line="1"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inability of the Company to obtain sufficient additional capital to continue to advance these product candidates and its preclinical</w:t>
      </w:r>
    </w:p>
    <w:p>
      <w:pPr>
        <w:spacing w:after="0" w:line="9" w:lineRule="exact"/>
        <w:rPr>
          <w:rFonts w:ascii="Times New Roman" w:cs="Times New Roman" w:eastAsia="Times New Roman" w:hAnsi="Times New Roman"/>
          <w:sz w:val="18"/>
          <w:szCs w:val="18"/>
          <w:color w:val="auto"/>
        </w:rPr>
      </w:pPr>
    </w:p>
    <w:p>
      <w:pPr>
        <w:ind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(v) uncertainties in obtaining successful clinical results for product candidates and unexpected costs that may result therefrom; (vi) risks related to the failure to realize any value from product candidates and preclinical programs being developed and anticipated to be developed in light of inherent risks and difficulties involved in successfully bringing product candidates to market and the risk that products will not achieve broad market acceptance; and (vii) the other risk factors discussed under the heading “Risk Factors” contained in this report and in any other documents Ocugen files with the SEC.</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in this report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report are expressly qualified in their entirety by the risk factors and cautionary statements contained in this report. Unless legally required, we do not undertake any obligation to release publicly any revisions to such forward-looking statements to reflect events or circumstances after the date of this report or to reflect the occurrence of unanticipated events.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142"/>
        </w:trPr>
        <w:tc>
          <w:tcPr>
            <w:tcW w:w="7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15,301,082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1,628,136</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517,562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313,499</w:t>
            </w: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 held for sale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7,000,000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22,818,644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1,941,635</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213,229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245,788</w:t>
            </w: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150,910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150,477</w:t>
            </w:r>
          </w:p>
        </w:tc>
      </w:tr>
      <w:tr>
        <w:trPr>
          <w:trHeight w:val="216"/>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436,094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116,333</w:t>
            </w:r>
          </w:p>
        </w:tc>
      </w:tr>
      <w:tr>
        <w:trPr>
          <w:trHeight w:val="250"/>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23,618,877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2,454,233</w:t>
            </w:r>
          </w:p>
        </w:tc>
        <w:tc>
          <w:tcPr>
            <w:tcW w:w="100" w:type="dxa"/>
            <w:vAlign w:val="bottom"/>
            <w:tcBorders>
              <w:bottom w:val="single" w:sz="8" w:color="CCEEFF"/>
            </w:tcBorders>
          </w:tcPr>
          <w:p>
            <w:pPr>
              <w:spacing w:after="0"/>
              <w:rPr>
                <w:sz w:val="21"/>
                <w:szCs w:val="21"/>
                <w:color w:val="auto"/>
              </w:rPr>
            </w:pPr>
          </w:p>
        </w:tc>
      </w:tr>
      <w:tr>
        <w:trPr>
          <w:trHeight w:val="170"/>
        </w:trPr>
        <w:tc>
          <w:tcPr>
            <w:tcW w:w="78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5,791,298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3,277,525</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1,301,304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1,402,750</w:t>
            </w: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7,483,847</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1,741,222</w:t>
            </w: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151,530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lease obligation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19,838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20,442</w:t>
            </w: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warrant liability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27,964,986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grant proceeds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183,800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183,800</w:t>
            </w:r>
          </w:p>
        </w:tc>
      </w:tr>
      <w:tr>
        <w:trPr>
          <w:trHeight w:val="210"/>
        </w:trPr>
        <w:tc>
          <w:tcPr>
            <w:tcW w:w="78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35,412,756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14,109,586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obligation, less current portion</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223,853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Financing lease obligation, less current portion</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33,720</w:t>
            </w:r>
          </w:p>
        </w:tc>
      </w:tr>
      <w:tr>
        <w:trPr>
          <w:trHeight w:val="216"/>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 term debt,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1,058,191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1,016,727</w:t>
            </w:r>
          </w:p>
        </w:tc>
      </w:tr>
      <w:tr>
        <w:trPr>
          <w:trHeight w:val="210"/>
        </w:trPr>
        <w:tc>
          <w:tcPr>
            <w:tcW w:w="78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1,299,383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36,712,139</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15,163,772</w:t>
            </w:r>
          </w:p>
        </w:tc>
        <w:tc>
          <w:tcPr>
            <w:tcW w:w="100" w:type="dxa"/>
            <w:vAlign w:val="bottom"/>
            <w:tcBorders>
              <w:bottom w:val="single" w:sz="8" w:color="CCEEFF"/>
            </w:tcBorders>
          </w:tcPr>
          <w:p>
            <w:pPr>
              <w:spacing w:after="0"/>
              <w:rPr>
                <w:sz w:val="18"/>
                <w:szCs w:val="18"/>
                <w:color w:val="auto"/>
              </w:rPr>
            </w:pPr>
          </w:p>
        </w:tc>
      </w:tr>
      <w:tr>
        <w:trPr>
          <w:trHeight w:val="196"/>
        </w:trPr>
        <w:tc>
          <w:tcPr>
            <w:tcW w:w="7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Convertible preferred stock, $0.01 par value, 10,000,000 shares authorized, 7.0 and zero issued and</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 at September 30, 2019 and December 31, 2018</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200,000,000 ($0.01 par value) authorized and 10,013,605 and 4,960,552 issued and</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September 30, 2019 and December 31, 2018</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100,136</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49,606</w:t>
            </w:r>
          </w:p>
        </w:tc>
      </w:tr>
      <w:tr>
        <w:trPr>
          <w:trHeight w:val="216"/>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50,668,493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18,477,598</w:t>
            </w:r>
          </w:p>
        </w:tc>
      </w:tr>
      <w:tr>
        <w:trPr>
          <w:trHeight w:val="216"/>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(63,861,891)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(31,237,194)</w:t>
            </w:r>
          </w:p>
        </w:tc>
      </w:tr>
      <w:tr>
        <w:trPr>
          <w:trHeight w:val="210"/>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(13,093,262)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(12,709,539)</w:t>
            </w:r>
          </w:p>
        </w:tc>
        <w:tc>
          <w:tcPr>
            <w:tcW w:w="100" w:type="dxa"/>
            <w:vAlign w:val="bottom"/>
            <w:tcBorders>
              <w:bottom w:val="single" w:sz="8" w:color="CCEEFF"/>
            </w:tcBorders>
          </w:tcPr>
          <w:p>
            <w:pPr>
              <w:spacing w:after="0"/>
              <w:rPr>
                <w:sz w:val="18"/>
                <w:szCs w:val="18"/>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23,618,877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2,454,233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1,305,461</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1,561,286</w:t>
            </w:r>
          </w:p>
        </w:tc>
        <w:tc>
          <w:tcPr>
            <w:tcW w:w="18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6,338,530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1,408,350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843,165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3,544,847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4"/>
              </w:rPr>
              <w:t>2,713,811</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2,404,451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9,883,377</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10,451,034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(2,713,811)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(9,883,377)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(10,451,034)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(18,512,204)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(19,896,626)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conversion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(341,136)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(796,141)</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(1,753,172)</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(3,035,350)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(751,261)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(751,493)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(20,059,470)</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(22,741,320)</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(1,811,845)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(22,773,281)</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(1,932,607)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(32,624,697)</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(12,262,879)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(22,773,281)</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(1,932,740)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(32,625,148)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(12,262,488)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4"/>
              </w:rPr>
              <w:t>6,411,308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5,839,840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gridSpan w:val="10"/>
          </w:tcPr>
          <w:p>
            <w:pPr>
              <w:ind w:left="30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80" w:type="dxa"/>
            <w:vAlign w:val="bottom"/>
            <w:gridSpan w:val="8"/>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12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left="1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80" w:type="dxa"/>
            <w:vAlign w:val="bottom"/>
            <w:gridSpan w:val="8"/>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center"/>
              <w:ind w:left="199"/>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94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72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4"/>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4,960,552</w:t>
            </w:r>
          </w:p>
        </w:tc>
        <w:tc>
          <w:tcPr>
            <w:tcW w:w="520" w:type="dxa"/>
            <w:vAlign w:val="bottom"/>
            <w:gridSpan w:val="2"/>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49,606</w:t>
            </w:r>
          </w:p>
        </w:tc>
        <w:tc>
          <w:tcPr>
            <w:tcW w:w="36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18,477,598</w:t>
            </w:r>
          </w:p>
        </w:tc>
        <w:tc>
          <w:tcPr>
            <w:tcW w:w="1000" w:type="dxa"/>
            <w:vAlign w:val="bottom"/>
            <w:gridSpan w:val="2"/>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9"/>
                <w:szCs w:val="9"/>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(31,237,194)</w:t>
            </w:r>
          </w:p>
        </w:tc>
        <w:tc>
          <w:tcPr>
            <w:tcW w:w="30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(12,709,539)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40" w:type="dxa"/>
            <w:vAlign w:val="bottom"/>
            <w:gridSpan w:val="4"/>
            <w:vMerge w:val="continue"/>
            <w:shd w:val="clear" w:color="auto" w:fill="CCEEFF"/>
          </w:tcPr>
          <w:p>
            <w:pPr>
              <w:spacing w:after="0"/>
              <w:rPr>
                <w:sz w:val="15"/>
                <w:szCs w:val="15"/>
                <w:color w:val="auto"/>
              </w:rPr>
            </w:pP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4"/>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700" w:type="dxa"/>
            <w:vAlign w:val="bottom"/>
            <w:gridSpan w:val="4"/>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gridSpan w:val="2"/>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300" w:type="dxa"/>
            <w:vAlign w:val="bottom"/>
            <w:gridSpan w:val="3"/>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415,202</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415,202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40" w:type="dxa"/>
            <w:vAlign w:val="bottom"/>
            <w:gridSpan w:val="4"/>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4"/>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(6,312,606)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4,960,552</w:t>
            </w: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49,606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18,892,800</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(37,549,800)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(18,607,225)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40" w:type="dxa"/>
            <w:vAlign w:val="bottom"/>
            <w:gridSpan w:val="4"/>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111,807</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111,807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(169)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adjustment</w:t>
            </w: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(3,538,810)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(3,538,810)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debt</w:t>
            </w:r>
          </w:p>
        </w:tc>
        <w:tc>
          <w:tcPr>
            <w:tcW w:w="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4"/>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1,125,673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13,959,622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13,970,878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transactions</w:t>
            </w:r>
          </w:p>
        </w:tc>
        <w:tc>
          <w:tcPr>
            <w:tcW w:w="4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157,743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1,956,218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1,957,796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ind w:left="6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6,243,968</w:t>
            </w:r>
          </w:p>
        </w:tc>
        <w:tc>
          <w:tcPr>
            <w:tcW w:w="200" w:type="dxa"/>
            <w:vAlign w:val="bottom"/>
          </w:tcPr>
          <w:p>
            <w:pPr>
              <w:spacing w:after="0"/>
              <w:rPr>
                <w:sz w:val="12"/>
                <w:szCs w:val="12"/>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62,440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34,920,447</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(41,088,610)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(6,105,723)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stock for reverse</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asset acquisition, net of</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240" w:type="dxa"/>
            <w:vAlign w:val="bottom"/>
            <w:gridSpan w:val="4"/>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1,576,655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15,766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2,325,284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2,341,050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$5.0 million of costs</w:t>
            </w: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4"/>
            <w:vMerge w:val="continue"/>
            <w:shd w:val="clear" w:color="auto" w:fill="CCEEFF"/>
          </w:tcPr>
          <w:p>
            <w:pPr>
              <w:spacing w:after="0"/>
              <w:rPr>
                <w:sz w:val="14"/>
                <w:szCs w:val="14"/>
                <w:color w:val="auto"/>
              </w:rPr>
            </w:pPr>
          </w:p>
        </w:tc>
        <w:tc>
          <w:tcPr>
            <w:tcW w:w="780" w:type="dxa"/>
            <w:vAlign w:val="bottom"/>
            <w:tcBorders>
              <w:right w:val="single" w:sz="8" w:color="CCEEFF"/>
            </w:tcBorders>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under Pre-Merger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Financing, net of $1.8</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2,192,982</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21,930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13,229,757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13,251,687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million of costs</w:t>
            </w: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40" w:type="dxa"/>
            <w:vAlign w:val="bottom"/>
            <w:gridSpan w:val="4"/>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193,005</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193,005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w:t>
            </w: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(22,773,281)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(22,773,281)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shd w:val="clear" w:color="auto" w:fill="CCEEFF"/>
          </w:tcPr>
          <w:p>
            <w:pPr>
              <w:spacing w:after="0"/>
              <w:rPr>
                <w:sz w:val="9"/>
                <w:szCs w:val="9"/>
                <w:color w:val="auto"/>
              </w:rPr>
            </w:pPr>
          </w:p>
        </w:tc>
        <w:tc>
          <w:tcPr>
            <w:tcW w:w="180" w:type="dxa"/>
            <w:vAlign w:val="bottom"/>
            <w:gridSpan w:val="2"/>
            <w:vMerge w:val="restart"/>
            <w:shd w:val="clear" w:color="auto" w:fill="CCEEFF"/>
          </w:tcPr>
          <w:p>
            <w:pPr>
              <w:spacing w:after="0"/>
              <w:rPr>
                <w:sz w:val="9"/>
                <w:szCs w:val="9"/>
                <w:color w:val="auto"/>
              </w:rPr>
            </w:pPr>
          </w:p>
        </w:tc>
        <w:tc>
          <w:tcPr>
            <w:tcW w:w="7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10,013,605</w:t>
            </w:r>
          </w:p>
        </w:tc>
        <w:tc>
          <w:tcPr>
            <w:tcW w:w="520" w:type="dxa"/>
            <w:vAlign w:val="bottom"/>
            <w:gridSpan w:val="2"/>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100,136</w:t>
            </w:r>
          </w:p>
        </w:tc>
        <w:tc>
          <w:tcPr>
            <w:tcW w:w="360" w:type="dxa"/>
            <w:vAlign w:val="bottom"/>
            <w:gridSpan w:val="2"/>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50,668,493</w:t>
            </w:r>
          </w:p>
        </w:tc>
        <w:tc>
          <w:tcPr>
            <w:tcW w:w="1000" w:type="dxa"/>
            <w:vAlign w:val="bottom"/>
            <w:gridSpan w:val="2"/>
            <w:vMerge w:val="restart"/>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9"/>
                <w:szCs w:val="9"/>
                <w:color w:val="auto"/>
              </w:rPr>
            </w:pPr>
          </w:p>
        </w:tc>
        <w:tc>
          <w:tcPr>
            <w:tcW w:w="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vMerge w:val="restart"/>
            <w:shd w:val="clear" w:color="auto" w:fill="CCEEFF"/>
          </w:tcPr>
          <w:p>
            <w:pPr>
              <w:jc w:val="right"/>
              <w:ind w:right="20"/>
              <w:spacing w:after="0" w:line="263" w:lineRule="exact"/>
              <w:rPr>
                <w:sz w:val="20"/>
                <w:szCs w:val="20"/>
                <w:color w:val="auto"/>
              </w:rPr>
            </w:pPr>
            <w:r>
              <w:rPr>
                <w:rFonts w:ascii="Times New Roman" w:cs="Times New Roman" w:eastAsia="Times New Roman" w:hAnsi="Times New Roman"/>
                <w:sz w:val="14"/>
                <w:szCs w:val="14"/>
                <w:b w:val="1"/>
                <w:bCs w:val="1"/>
                <w:color w:val="auto"/>
              </w:rPr>
              <w:t>(63,861,891</w:t>
            </w:r>
            <w:r>
              <w:rPr>
                <w:rFonts w:ascii="Times New Roman" w:cs="Times New Roman" w:eastAsia="Times New Roman" w:hAnsi="Times New Roman"/>
                <w:sz w:val="28"/>
                <w:szCs w:val="28"/>
                <w:b w:val="1"/>
                <w:bCs w:val="1"/>
                <w:color w:val="auto"/>
                <w:vertAlign w:val="superscript"/>
              </w:rPr>
              <w:t>)</w:t>
            </w:r>
          </w:p>
        </w:tc>
        <w:tc>
          <w:tcPr>
            <w:tcW w:w="30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shd w:val="clear" w:color="auto" w:fill="CCEEFF"/>
          </w:tcPr>
          <w:p>
            <w:pPr>
              <w:jc w:val="right"/>
              <w:spacing w:after="0" w:line="263" w:lineRule="exact"/>
              <w:rPr>
                <w:sz w:val="20"/>
                <w:szCs w:val="20"/>
                <w:color w:val="auto"/>
              </w:rPr>
            </w:pPr>
            <w:r>
              <w:rPr>
                <w:rFonts w:ascii="Times New Roman" w:cs="Times New Roman" w:eastAsia="Times New Roman" w:hAnsi="Times New Roman"/>
                <w:sz w:val="14"/>
                <w:szCs w:val="14"/>
                <w:b w:val="1"/>
                <w:bCs w:val="1"/>
                <w:color w:val="auto"/>
              </w:rPr>
              <w:t>(13,093,262</w:t>
            </w:r>
            <w:r>
              <w:rPr>
                <w:rFonts w:ascii="Times New Roman" w:cs="Times New Roman" w:eastAsia="Times New Roman" w:hAnsi="Times New Roman"/>
                <w:sz w:val="28"/>
                <w:szCs w:val="28"/>
                <w:b w:val="1"/>
                <w:bCs w:val="1"/>
                <w:color w:val="auto"/>
                <w:vertAlign w:val="superscript"/>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shd w:val="clear" w:color="auto" w:fill="CCEEFF"/>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780" w:type="dxa"/>
            <w:vAlign w:val="bottom"/>
            <w:tcBorders>
              <w:right w:val="single" w:sz="8" w:color="CCEEFF"/>
            </w:tcBorders>
            <w:gridSpan w:val="2"/>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4"/>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00" w:type="dxa"/>
            <w:vAlign w:val="bottom"/>
            <w:gridSpan w:val="4"/>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300" w:type="dxa"/>
            <w:vAlign w:val="bottom"/>
            <w:gridSpan w:val="3"/>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gridSpan w:val="6"/>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160" w:type="dxa"/>
            <w:vAlign w:val="bottom"/>
            <w:gridSpan w:val="3"/>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4,960,552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17,402,911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(13,017,530)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4,434,987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258,682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(5,039,026)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(5,039,026)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4,960,552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17,661,593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(18,056,556)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261,185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(5,291,246)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(5,291,246)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4,960,552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17,922,778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(23,347,802)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(5,374,894)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226,216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(1,932,607)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4,960,552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right w:val="single" w:sz="8" w:color="CCEEFF"/>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18,148,994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(25,280,409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(7,081,418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(32,624,697)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(12,262,879)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34,626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1,718,546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2,825,669</w:t>
            </w: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19,896,626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(1,208,525)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720,014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746,083</w:t>
            </w: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debt conversion</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341,136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(315,612)</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(390,541)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34,774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6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2,045,228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1,413,621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rent</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(8,149,359)</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reverse asset acquisition costs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(2,334,063)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(2,336,130)</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 principal payments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(16,985)</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(122,262)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6,800,000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(649,254)</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(741,178)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Pre-Merger Financing</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22,437,537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subscription</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999,832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24,158,868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5,254,040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changes in exchange rate on cash</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13,673,379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(3,667,495)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1,778,613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6,301,572</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15,451,992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fixed assets by entering into capital lease (Note 10)</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convertible notes (Note 9)</w:t>
            </w:r>
          </w:p>
        </w:tc>
        <w:tc>
          <w:tcPr>
            <w:tcW w:w="1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13,061,029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convertible promissory note (Note 9)</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907,502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issuance costs (Note 4)</w:t>
            </w:r>
          </w:p>
        </w:tc>
        <w:tc>
          <w:tcPr>
            <w:tcW w:w="1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1,150,000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598,286</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 related to operating leases (Note 10)</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363,093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Reverse asset acquisition costs (Note 4)</w:t>
            </w:r>
          </w:p>
        </w:tc>
        <w:tc>
          <w:tcPr>
            <w:tcW w:w="1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2,711,431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Ocugen, Inc. (formerly known as Histogenics Corporation), together with its wholly owned subsidiaries (“Ocugen” or the “Company”), is a clinical-stage biopharmaceutical company focused on discovering, developing and commercializing a pipeline of innovative therapies to address rare and underserved eye diseases. The Company is located in Malvern, Pennsylvania.</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Ocugen is developing a modifier gene therapy platform for unmet medical needs in the area of retinal diseases, including inherited retinal diseases (“IRDs”). Ocugen’s modifier gene therapy platform is novel in that it targets nuclear hormone receptor (“NHR”) genes which have the potential to restore homeostasis to the retina and may target multiple genes that are associated with a range of IRDs. Unlike single-gene replacement therapies, which only target one genetic mutation, the Company believes that its gene therapy platform, through its targeting of NHRs, may impact multiple genes that are associated with a range of genetically diverse diseases. Ocugen’s first gene therapy candidate, OCU400, has received two Orphan Drug Designation (“ODD”) from the Food and Drug Administration (“FDA”), for the treatment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mutation-associated retinal diseases and CEP290 mutation-associated retinal diseases. OCU400 uses an adeno-associated virus vector (“AAV”). Ocugen’s second gene therapy product candidate, OCU410, is targeted for dry age-related macular degeneration (“dry AMD”). Currently, there are no FDA-approved therapies to treat this disease.</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Ocugen has a late-stage, Phase 3 program, OCU300, which has also received ODD from the FDA. OCU300 is a small molecule therapeutic currently in Phase 3 clinical development for patients with ocular graft-versus-host disease (“oGVHD”). Ocugen is the first and only company to receive ODD for the treatment of oGVHD and is the only company conducting Phase 3 studies in this patient population. OCU300 is formulated using the Company’s proprietary nanoemulsion technology, OcuNanoE — Ocugen’s ONE Platform™ (“OcuNanoE™”).</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Ocugen is also developing OCU200, a novel fusion protein for the treatment of wet age-related macular degeneration (“wet AMD”), diabetic retinopathy (“DR”) and diabetic macular edema (“DME”).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Histogenics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September 27, 2019, the Company completed its reverse merger with Ocugen, OpCo Inc. (formerly known as Ocugen, Inc. (“Former Ocugen”)) in accordance with the terms of the Agreement and Plan of Merger and Reorganization, dated as of April 5, 2019, by and among Histogenics, Former Ocugen and Restore Merger Sub, Inc., a wholly owned subsidiary of Histogenics (“Merger Sub”), as amended (the “Merger Agreement”), pursuant to which Merger Sub merged with and into Former Ocugen, with Former Ocugen surviving as a wholly owned subsidiary of Histogenics (the “Merger”). Immediately after completion of the Merger, Histogenics changed its name to Ocugen, Inc. and the business conducted by Ocugen, Inc. became the business conducted by Former Ocugen. Former Ocugen is deemed to be the accounting acquirer. Accordingly, the historical financial statements of Former Ocugen became the Company’s historical financial statements, including the comparative prior periods. See Note 4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and immediately prior to the completion of the Merger, Histogenics effected a reverse stock split of the common stock, at a ratio of 1-for-60 (the ‘‘Reverse Stock Split’’). Under the terms of the Merger Agreement, the Company issued common stock to Former Ocugen’s stockholders at an exchange rate of 0.4794 shares of common stock, after taking into account the Reverse Stock Split, for each share of Former Ocugen’s common stock outstanding immediately prior to the Merger.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capital structure, including the number of shares of common stock issued appearing in the condensed consolidated balance sheets for the periods presented, reflects that of Ocugen. All references in the condensed consolidated financial statements to the number of shares and per-share amounts of common stock have been retroactively restated to reflect the exchange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funded its operating losses through the sale of common stock, warrants to purchase common stock, the issuance of convertible notes, and debt. The Company incurred net losses of approximately $32.6 million and $12.3 million for the nine months ended September 30, 2019 and 2018, respectively, and had an accumulated deficit of $63.9 million as of September 30, 2019. As of September 30, 2019, the Company had cash, cash equivalents and restricted cash totaling $15.5 million.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a limited operating history and its prospects are subject to risks, expenses and uncertainties frequently encountered by companies in its industry. The Company intends to continue its research and development efforts for its product candidates, which will require significant funding. If the Company is unable to obtain additional financing in the future or research and development efforts require higher than anticipated capital, there may be a negative impact on the financial viability of the Company. The Company plans to increase working capital by raising additional capital through either private or public equity or debt financing. Such financing may not be available at all, or on terms that are favorable to the Company. While management of the Company believes that it has a plan to fund ongoing operations, its plan may not be successfully implemented. Failure to generate sufficient cash flows from operations, raise additional capital through one or more financings, or appropriately manage certain discretionary spending could have a material adverse effect on the Company’s ability to achieve its intended business objectives.</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increase in spending that will be necessary to continue to develop the Company’s products, there is substantial doubt about the Company’s ability to continue as a going concern within one year after the date that these unaudited condensed consolidated financial statements are issued. The unaudited condensed consolidated financial statements do not contain any adjustments that might result from the resolution of any of the above uncertainties.</w:t>
      </w:r>
    </w:p>
    <w:p>
      <w:pPr>
        <w:spacing w:after="0" w:line="17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herein have been prepared in conformity with accounting principles generally accepted in the United States (“GAAP”) and under the rules and regulations of the United States Securities and Exchange Commission (“SEC”) for interim reporting. The accompanying condensed consolidated financial statements include all adjustments, consisting of normal recurring adjustments, that are necessary to present fairly the Company’s financial position, results of operations, and cash flows. The condensed consolidated results of operations are not necessarily indicative of the results that may occur for the full fiscal year. Certain information and 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of Former Ocugen for the year ended December 31, 2018. The balance sheet data as of December 31, 2018 was derived from the Company’s audited financial statements for the year ended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Ocugen, Inc. and its wholly owned subsidiary. All intercompany balances and transactions have been eliminated in consolidation.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assets and liabilities of the Company’s foreign subsidiary are translated into U.S. dollars based on exchange rates in effect at the end of each period. Revenues and expenses are translated at average exchange rates during the periods. Currency transaction gains or losses are included in other expenses. Gains or losses from balance sheet translation are included in accumulated other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preparing condensed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inherent uncertainty involved in making estimates, actual results reported in future periods may be affected by changes in these estimates. On an ongoing basis, the Company evaluates its estimates and assumptions. These estimates and assumptions include those used in the valuation of share-based payment arrangements, warrants, and embedded conversion features on the convertible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Held for Sale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 asset is considered to be held for sale when all of the following criteria are met: (i) management commits to a plan to sell the asset; (ii) it is unlikely that the disposal plan will be significantly modified or discontinued; (iii) the asset is available for immediate sale in its present condition; (iv) actions required to complete the sale of the asset have been initiated; (v) sale of the asset is probable and the completed sale is expected to occur within one year; and (vi) the asset is actively being marketed for sale at a price that is reasonable given its current market value.</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 long-lived asset classified as held for sale is measured at the lower of its carrying amount or fair value less cost to sell. If the long-lived asset is newly acquired, the carrying amount of the long-lived asset is established based on its fair value less cost to sell at the acquisition date. A long-lived asset is not depreciated or amortized while it is classified as held for sale.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2019, Ocugen had an intangible asset held for sale acquired from Histogenics with a fair value less cost of sell of $7.0 million. See Notes 4 and 12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the Financial Accounting Standards Board’s (“FASB”) Accounting Standards Codification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(“ASC 820”), which defines fair value as used in numerous accounting pronouncements, establishes a framework for measuring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expands disclosure of fair measurements.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estimated fair value of certain financial instruments, cash and cash equivalents, accounts payable, and accrued expenses are carried at historical cost basis, which approximates their fair values because of the short-term nature of these instruments.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derivative instruments that are fair valued on a recurring basis using Level 3 inputs.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Indexed to and Potentially Settled in Common Stock</w:t>
      </w:r>
    </w:p>
    <w:p>
      <w:pPr>
        <w:spacing w:after="0" w:line="2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warrants in accordance with ASC Topic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xml:space="preserve"> (“ASC 815-40”), which is the authoritative guidance on accounting for derivative financial instruments indexed to and potentially settled in a company’s own stock. To determine whether a contract is considered indexed to the issuer’s own equity, the Company performs a two-step analysis: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Step 1 — Evaluate whether the contract contains any exercise contingencies and, if so, whether they disqualify the contract from being classified as equity,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 Assess whether the settlement terms are consistent with equity classification.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the liability-designated warrants on its condensed consolidated balance sheet as a derivative liability which is recognized at fair value at each reporting period subsequent to the initial issuance. Changes in the fair value of derivatives are recognized as other income (expense) in the condensed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and cash equivalents include bank demand deposits, marketable securities with maturities of three months or less at purchase, and money market funds that invest primarily in certificates of deposit, commercial paper and United States government and United States government agency obligations. The Company’s restricted cash balance consists of cash held to collateralize a corporate credit card account.</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condensed consolidated balance sheets to the total amount shown in the condensed consolidated statements of cash flows: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reconciliation:</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15,301,082</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2,483,749</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150,910</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150,328</w:t>
            </w:r>
          </w:p>
        </w:tc>
        <w:tc>
          <w:tcPr>
            <w:tcW w:w="8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15,451,992</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2,634,077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In July 2018, the FASB issued ASU No.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(“ASU 2018-10”), which provides narrow amendments to clarify how to apply certain aspects of the new lease standard, and ASU No. 2018-11, </w:t>
      </w:r>
      <w:r>
        <w:rPr>
          <w:rFonts w:ascii="Times New Roman" w:cs="Times New Roman" w:eastAsia="Times New Roman" w:hAnsi="Times New Roman"/>
          <w:sz w:val="18"/>
          <w:szCs w:val="18"/>
          <w:i w:val="1"/>
          <w:iCs w:val="1"/>
          <w:color w:val="auto"/>
        </w:rPr>
        <w:t>Leases (Topic 842)—Targeted Improvements</w:t>
      </w:r>
      <w:r>
        <w:rPr>
          <w:rFonts w:ascii="Times New Roman" w:cs="Times New Roman" w:eastAsia="Times New Roman" w:hAnsi="Times New Roman"/>
          <w:sz w:val="18"/>
          <w:szCs w:val="18"/>
          <w:color w:val="auto"/>
        </w:rPr>
        <w:t xml:space="preserve"> (“ASU 2018-11”), which addressed implementation issues related to the new lease standard. These and certain other lease-related ASUs have generally been codified in ASC 842. ASC 842 supersedes the lease accounting requirements in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ASC 842 establishes a right-of-use model that requires a lessee to record a right-of-</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ASU 2016-02 was effective for annual reporting periods beginning after December 15, 2018 and interim periods within that reporting period. The Company adopted ASC 842 on January 1, 2019 using the effective date transition method. Prior period results continue to be presented under ASC 840 based on the accounting standards originally in effect for such periods.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elected certain practical expedients permitted under the transition guidance within ASC 842 to leases that commenced before January 1, 2019,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2019. The Company did not elect the practical expedient to not record short-term leases on its consolidated balance sheet. The adoption of ASU 2016-02 did not have a significant impact on the Company’s consolidated results of operations or cash flows. Upon adoption, the Company recognized an ROU asset and lease liability of $0.4 million and $0.4 million, respectively. See Note 10 for additional information.</w:t>
      </w:r>
    </w:p>
    <w:p>
      <w:pPr>
        <w:spacing w:after="0" w:line="18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and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Pre-Merger Financing</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June 2019, Former Ocugen and Histogenics entered into a Securities Purchase Agreement (as amended, the “Financing SPA”) with certain accredited investors (the “Investors”). Pursuant to the Financing SPA, among other things, (i) immediately prior to the Merger, Former Ocugen issued 4,574,272 shares of common stock to the Investors (the “Initial Shares” and, as converted pursuant to the exchange rate in the Merger into the right to receive approximately 2.2 million shares the Company’s common stock, the “Converted Initial Shares”), (ii) immediately prior to the Merger, Former Ocugen issued and deposited 4,574,272 shares of common stock into escrow on behalf of the Investors (the “Additional Shares” and, as converted pursuant to the exchange rate in the Merger, into the right to receive approximately 2.2 million shares of the Company’s common stock, the “Converted Additional Shares”) and (iii) the Company agreed to issue, on the fifth trading day following the consummation of the Merger, three series of warrants to purchase shares of the Company’s common stock (the “Series A Warrants,” the “Series B Warrants” and the “Series C Warrants” and collectively, the “Pre-Merger Financing Warrants”) in exchange for an aggregate purchase price of $25.0 million (“Pre-Merger Financing”).</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Approximately $2.5 million of the $25.0 million Pre-Merger Financing was utilized to pay transaction costs related to the Merger and the Pre-Merger Financing in the form of equity. In addition, the Company utilized $5.3 million of the Pre-Merger Financing for the repayment of the Senior Secured Notes, as defined in Note 9. As a result, the Company received total net proceeds of $17.2 million from the Pre-Merger Financing. The Company incurred $1.8 million in equity issuance costs related to the Pre-Merger Financing, of which $0.6 million was paid in cash and $1.2 million was paid with equity as of September 30, 2019. Approximately $1.0 million of equity issuance costs was allocated to the Series A Warrants and Series C Warrants and is included in additional paid-in capital. Approximately $0.8 million of issuance costs allocated to the Series B Warrant liability were expensed and are reflected in other income (expense) on the condensed consolidated statements of operations and comprehensive loss for the three and nine months ended September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Histogenics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27, 2019, the Company completed the Merger in accordance with the terms of the Merger Agreement. The Merger was structured as a stock-for-stock transaction whereby all of Former Ocugen’s outstanding shares of common stock and securities convertible into or exercisable for Former Ocugen’s common stock were converted into the right to receive Histogenics’ common stock and securities convertible into or exercisable for Histogenics’ common stock. Immediately following the Merger, the former equity holders of Former Ocugen owned 84.25% of the outstanding capital stock of the Company, and the equity holders of the Company immediately before the Merger owned 15.75% of the outstanding capital stock of the Company, including the Initial Shares but excluding the Additional Shares and the Pre-Merger Financing Warrants pursuant to the Financing SPA.</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concluded that, while Histogenics is the legal acquirer, Former Ocugen is the accounting acquirer due to the fact that (i) Former Ocugen’s shareholders have the majority of the voting rights in Ocugen, (ii) Former Ocugen holds all of the board seats of the combined company and (iii) Former Ocugen management holds all key positions in the management of the combined company. The Company has further concluded that Histogenics does not meet the definition of a business under ASC 805 due to the fact that substantially all of the fair value of the gross assets disposed of is concentrated in a single identifiable asset or a group of similar identifiable assets. Therefore, the Merger will be accounted for as a reverse asset acquisition. The Company incurred $5.0 million in transaction costs related to the Merger, of which $2.3 million was paid in cash and $2.3 million was paid with equity as of September 30, 2019.</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of Histogenics on September 27, 2019 were as follows (in thousands):</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73"/>
        </w:trPr>
        <w:tc>
          <w:tcPr>
            <w:tcW w:w="7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10"/>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held for sale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10"/>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Held for Sale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on May 8, 2019, Histogenics entered into an asset purchase agreement (the “Asset Purchase Agreement”) with Medavate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 a Colorado corporation (“Medavate”), pursuant to which Histogenics agreed to sell substantially all of its assets relating to its NeoCart™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intellectual property, business and license agreements and clinical trial data (the “Assets”) in return for a cash payment of $6.5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On September 26, 2019, the parties entered into an amendment to the Asset Purchase Agreement whereby the closing date was amended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2019. On October 4, 2019, the parties entered into a second amendment (the “Second Amendment”) to the Asset Purchase Agreement whereby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was increased to $7.0 million under the Asset Purchase Agreement and the closing date of the Asset Purchase Agreement was revised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2019 to two business days after Medavate obtains financing in an amount no less than the purchase price (the “Closing Date”).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further provides that if the Closing Date does not occur on or prior to October 31, 2019, Ocugen may choose to terminate the Asset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without recourse and, if Ocugen does not terminate the Asset Purchase Agreement, the purchase price shall increase 10% per month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thereof) between October 31, 2019 and the Closing Date. The NeoCart™ asset qualifies as held for sale as of the date of the reverse asset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carried at a fair value less cost to sell on the condensed consolidated balance sheet as of September 30, 2019. The Closing Date did not occur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2019 and Ocugen did not terminate the agreement. See Note 12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Medinet Agreement</w:t>
      </w:r>
    </w:p>
    <w:p>
      <w:pPr>
        <w:spacing w:after="0" w:line="2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December 2017, Histogenics entered into the License and Commercialization Agreement (the “License Agreement”) with MEDINET Co., Ltd. (“MEDINET”) to grant MEDINET a license under certain patents, patent applications, know-how, and technology to develop and commercialize certain therapeutic products related to the NeoCart™ program. As consideration for the granting of the license, MEDINET agreed to pay Histogenics a non-refundable upfront cash payment of $10.0 million which was received in January 2018. Based on the results of the NeoCart™ research, Histogenics suspended the NeoCart™ program. Subsequently, since MEDINET relied on the NeoCart™ product to supply clinical trial patients, MEDINET suspended the development of its clinical trial. As of September 30, 2019, the contract with MEDINET was wholly unperformed. As a result of the expected sale of the NeoCart™ asset, the Company does not expect to retain any future obligations related to the MEDINET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7"/>
          <w:szCs w:val="17"/>
          <w:color w:val="auto"/>
        </w:rPr>
        <w:t>NeoCart™ asset</w:t>
      </w:r>
      <w:r>
        <w:rPr>
          <w:rFonts w:ascii="Times New Roman" w:cs="Times New Roman" w:eastAsia="Times New Roman" w:hAnsi="Times New Roman"/>
          <w:sz w:val="18"/>
          <w:szCs w:val="18"/>
          <w:color w:val="auto"/>
        </w:rPr>
        <w:t xml:space="preserve"> held for sale was valued based on a quoted price of $7.0 million, which is an observable Level 2 fair value input.</w:t>
      </w:r>
    </w:p>
    <w:p>
      <w:pPr>
        <w:spacing w:after="0" w:line="22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 months ended September 30, 2019 and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(22,773,281)</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(1,932,607)</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(32,624,697)</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(12,262,879)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6,411,308</w:t>
            </w: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4,960,552</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5,839,840</w:t>
            </w:r>
          </w:p>
        </w:tc>
        <w:tc>
          <w:tcPr>
            <w:tcW w:w="2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4,960,552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shares of common stock—basic and diluted</w:t>
            </w:r>
          </w:p>
        </w:tc>
        <w:tc>
          <w:tcPr>
            <w:tcW w:w="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their inclusion would have been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3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4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300" w:type="dxa"/>
            <w:vAlign w:val="bottom"/>
            <w:gridSpan w:val="4"/>
            <w:vMerge w:val="continue"/>
          </w:tcPr>
          <w:p>
            <w:pPr>
              <w:spacing w:after="0"/>
              <w:rPr>
                <w:sz w:val="15"/>
                <w:szCs w:val="15"/>
                <w:color w:val="auto"/>
              </w:rPr>
            </w:pPr>
          </w:p>
        </w:tc>
        <w:tc>
          <w:tcPr>
            <w:tcW w:w="2140" w:type="dxa"/>
            <w:vAlign w:val="bottom"/>
            <w:gridSpan w:val="3"/>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500,933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500,933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Warrants(1)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870,020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870,020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870,020</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8,771,928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8,771,928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Series B Warrants(2)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8,007,461</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8,007,461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50,000,000</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68,150,342</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1,343,667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68,150,342</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3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580" w:firstLine="8"/>
        <w:spacing w:after="0" w:line="282" w:lineRule="auto"/>
        <w:tabs>
          <w:tab w:leader="none" w:pos="2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application of the exchange rate of 0.4794 to the outstanding options and warrants, the terms and conditions related to the options and warrants existing prior to the Merger were not revised.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do not include additional Series B Warrants that are contingent upon reset pricing as discussed in Note 11.</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Subsequent to September 30, 2019, the Pre-Merger Financing Warrants were amended to reduce the number of Series C Warrants, among other things. See Note 12 for additional information.</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CanSino Biologics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September 27, 2019, Ocugen entered into a co-development and commercialization agreement (the “CanSinoBIO Agreement”) with CanSino Biologics Inc. (“CanSinoBIO”) with respect to the development and commercialization of the gene therapy product candidate, OCU400, for the treatment of NR2E3 Mutation-Associated Retinal Degeneration, Leber Congenital Amaurosis, Bardet-Biedl Syndrome and Rhodopsin Mutation-Associated Retinal Degeneration.</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CanSinoBIO will be responsible for all the costs for chemistry, manufacturing and control development and manufacture of clinical supplies of OCU400 for all territories. CanSinoBIO will be solely responsible for all other costs and expenses of its development activities in the CanSinoBIO territory (Greater China, Hong Kong, Macao, and Taiwan) and Ocugen will be responsible for all other costs and expenses of its development activities in the Ocugen territory (outside of CanSinoBIO territory). CanSinoBIO will pay to Ocugen an annual royalty between mid to high-single digits based on net sales of products in the CanSinoBIO territory, and Ocugen will pay to CanSinoBIO an annual royalty between low to mid-single digits based on net sales of products in the Ocugen territory.</w:t>
      </w:r>
    </w:p>
    <w:p>
      <w:pPr>
        <w:spacing w:after="0" w:line="188"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Unless terminated earlier, the CanSinoBIO Agreement will continue in force on a country-by-country and product-by-product basis until the later of (a) the expiration of the last valid claim of patent rights of Ocugen covering such product and (b)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anniversary of the first commercial sale of such product in such country. The CanSinoBIO Agreement will also terminate upon the termination of the Exclusive License Agreement, dated December 19, 2017, between Ocugen and Schepens Eye Research Institute, Inc. The CanSinoBIO Agreement may be terminated by either party in its entirety upon (a) a material breach of the Agreement by the other party, (b) a challenge by the other party or any of its affiliates of any intellectual property controlled by the terminating party or (c) bankruptcy or insolvency of the other party. Within forty-five (45) days after such termination, CanSinoBIO shall provide Ocugen with a statement of the CanSinoBIO development costs and, within one (1) year after receipt of such report, Ocugen shall reimburse CanSinoBIO all such CanSinoBIO development costs.</w:t>
      </w:r>
    </w:p>
    <w:p>
      <w:pPr>
        <w:spacing w:after="0" w:line="19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Detail</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expenses:</w:t>
            </w:r>
          </w:p>
        </w:tc>
        <w:tc>
          <w:tcPr>
            <w:tcW w:w="2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60,315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705,436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Clinical</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243,461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469,473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Consulting</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85,508</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86,619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531,078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123,372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380,942</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17,850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1,301,304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78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Transactions</w:t>
      </w:r>
    </w:p>
    <w:p>
      <w:pPr>
        <w:spacing w:after="0" w:line="229"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On April 5, 2019, Former Ocugen entered into a Stock Subscription Agreement (“Subscription Agreement”) with existing investors for the sale of 80,572 shares of common stock for $1.0 million, or $12.41 per share. This capital raise triggered the conversion features on the convertible debt described below.</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December 13, 2018, Former Ocugen entered into a service agreement with a financial advisor. Pursuant to this agreement, in June 2019, 77,171 shares of common stock of Former Ocugen were issued at $12.41 per share for services rendered. These services totaling $1.0 million are related to the Merger and are therefore reflected in the supplemental disclosure of non-cash transactions included in the condensed consolidated statements of cash flows.</w:t>
      </w:r>
    </w:p>
    <w:p>
      <w:pPr>
        <w:spacing w:after="0" w:line="17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EB-5 Loan</w:t>
      </w:r>
    </w:p>
    <w:p>
      <w:pPr>
        <w:spacing w:after="0" w:line="22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In September 2016, pursuant to the U.S. government’s Immigrant Investor Program, commonly known as the EB-5 program (the “EB-5 Program”), the Company entered into an arrangement (the “EB-5 Loan Agreement”) to borrow up to $10.0 million from EB5 Life Sciences, L.P. (the “Lender”) in</w:t>
      </w:r>
    </w:p>
    <w:p>
      <w:pPr>
        <w:ind w:right="100"/>
        <w:spacing w:after="0" w:line="271" w:lineRule="auto"/>
        <w:rPr>
          <w:sz w:val="20"/>
          <w:szCs w:val="20"/>
          <w:color w:val="auto"/>
        </w:rPr>
      </w:pPr>
      <w:r>
        <w:rPr>
          <w:rFonts w:ascii="Times New Roman" w:cs="Times New Roman" w:eastAsia="Times New Roman" w:hAnsi="Times New Roman"/>
          <w:sz w:val="17"/>
          <w:szCs w:val="17"/>
          <w:color w:val="auto"/>
        </w:rPr>
        <w:t>$0.5 million increments. Borrowing may be limited by the amount of funds raised by the Lender and are subject to certain job creation requirements by the Company. Borrowings are at a fixed interest rate of 4.0% per annum and are to be utilized in the clinical development, manufacturing, and commercialization of the Company’s products and for the general working capital needs of the Company. Outstanding borrowings pursuant to the EB-5 Program become due upon the seventh anniversary of the final disbursement. Amounts repaid cannot be re-borrowed. The EB-5 note is secured by substantially all assets of the Company, except for any patents, patent applications, pending patents, patent license, patent sublicense, trademarks, and other intellectual property rights.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September 2016, $0.5 million was borrowed by the Company followed by another borrowing of $0.5 million in December 2016. Issuance costs for these borrowings totaled $103,887. Amortization of debt issuance costs amounted to approximately $3,710 for the three months ended September 30, 2019 and 2018, and approximately $11,131 for the nine months ended September 30, 2019 and 2018, and is included in interest expense.</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At September 30, 2019, there is $1.0 million of principal outstanding which has accrued interest of approximately $10,000 during the three months ended September 30, 2019 and 2018, respectively, and $30,000 during the nine months ended September 30, 2019 and 2018. As of September 30, 2019, total accrued interest is approximately $118,000. As of September 30, 2019, and December 31, 2018, the Company believes the fair value of the EB-5 note approximates its carrying value due to the nature of the loan and the similarity between the interest rate on the Note and prevailing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issued convertible notes (the “Notes”) to new and existing stockholders in the Company, including Notes in the aggregate principal amount of $3.35 million to members of the Board of Directors. As of September 30, 2019, all Notes had been converted and were no longer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 the following amounts were recorded: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Issuance Date</w:t>
            </w: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the Note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(2,579,074)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2,306,320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(10,175)</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272,784</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(50,646)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1,078,627</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(2,857)</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(14,310)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132,833</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7,300,400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(3,293,115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3,790,564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issued additional Notes to new and existing stockholders in the Company, including a Note in the principal amount of $0.1 million to a member of the Board of Directors. At issuance, the following amounts were recorded: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Issuance Date</w:t>
            </w: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2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the Note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7"/>
              </w:rPr>
              <w:t>(172,227)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7"/>
              </w:rPr>
              <w:t>(10,655)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7"/>
              </w:rPr>
              <w:t>(29,358)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(284,448)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(17,931)</w:t>
            </w:r>
          </w:p>
        </w:tc>
        <w:tc>
          <w:tcPr>
            <w:tcW w:w="20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(55,875)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641,746</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(456,675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(28,586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(85,233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879,506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All Notes accrued interest at a rate of 5% per annum and had scheduled maturity dates on the eighteenth month anniversary of the date of the issuance of the Notes (the “Maturity Date”). If prior to the Maturity Date, there is a consummation of the sale of all or substantially all of the assets of the Company, change in control or event of default, the Notes become due and payable at an amount equal to 1.5 times the principal amount of the Notes together with all accrued interest (the “Change in Control Feature”).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regard to the Notes issued in January 2018 and June 2018, if the Company receives equity financing from the issuance of stock of the Company from an investor or group of investors in a transaction or series of related transactions resulting in gross proceeds to the Company of at least $15.0 million, including the conversion of outstanding indebtedness under these Notes, the principal amount and all interest accrued but not paid through the closing date of the qualified equity financing shall automatically convert into the same class of equity securities as those issued in the qualified equity financing at a price per share equal to a 30% discount to the lowest price per share being paid by investors in the qualified equity financing.</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regard to the Notes issued in November 2018 and December 2018, if the Company receives equity financing from the issuance of stock of the Company from an investor or group of investors in a transaction or series of related transactions resulting in gross proceeds to the Company of at least $4.0 million, including the conversion of outstanding indebtedness under these Notes, the principal amount and all interest accrued but not paid through the closing date of the qualified equity financing shall automatically convert into the same class of equity securities as those issued in the qualified equity financing at a price per share equal to the lowest price per share being paid by investors in the qualified equity financing.</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regard to the notes issued in January 2019 and February 2019, if the Company receives equity financing from the issuance of stock of the Company from an investor or group of investors in a transaction or series of related transactions resulting in gross proceeds to the Company of at least $10.0 million, including the conversion of outstanding indebtedness under these Notes, the principal amount and all interest accrued but not paid through the closing date of the qualified equity financing shall automatically convert into the same class of equity securities as those issued in the qualified equity financing at a price per share equal to a 15% discount to the lowest price per share being paid by investors in the qualified equity financing.</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bifurcated the conversion feature upon a qualified equity financing for the January 2018, June 2018, January 2019, and February 2019 notes and classified it as a derivative liability because the conversion feature does not have a fixed conversion price and conversion will be settled in a variable number of shares of common stock. There is no bifurcated conversion feature for the November 2018 and December 2018 notes as there is no discount to the lowest equity price triggering conversion.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bifurcated the Change in Control Feature for all of the Notes because it was determined to be a redemption feature not clearly and closely related to the debt host. The fair value of both of the embedded features was accounted for as a derivative liability and was recorded as a discount on the Notes. I</w:t>
      </w:r>
      <w:r>
        <w:rPr>
          <w:rFonts w:ascii="Times New Roman" w:cs="Times New Roman" w:eastAsia="Times New Roman" w:hAnsi="Times New Roman"/>
          <w:sz w:val="17"/>
          <w:szCs w:val="17"/>
          <w:color w:val="auto"/>
        </w:rPr>
        <w:t>nputs used in valuation are unobservable and therefore considered Level 3 in the fair value hierarchy.</w:t>
      </w:r>
      <w:r>
        <w:rPr>
          <w:rFonts w:ascii="Times New Roman" w:cs="Times New Roman" w:eastAsia="Times New Roman" w:hAnsi="Times New Roman"/>
          <w:sz w:val="18"/>
          <w:szCs w:val="18"/>
          <w:color w:val="auto"/>
        </w:rPr>
        <w:t xml:space="preserve"> The debt discount is accreted into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expense over the expected time until conversion of the Notes. The accretion amounted to zero and $0.9 million in the three months ended September 30, 2019 and 2018, and $0.5 million and $2.8 million, in the nine months ended September 30, 2019 and 2018, respectively.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embedded features was classified as a liability in the Company’s condensed consolidated balance sheets at issuance, with subsequent changes in fair value during the three and nine months ended September 30, 2019 and 2018 recorded on the Company’s condensed consolidated statements of operations and comprehensive loss as a change in fair value of derivative liabilities.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1,623,009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issuance — January 2019 notes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issuance — February 2019 notes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embedded derivatives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(146,799)</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5, 2019</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3,610,905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considered several possible outcomes in the likelihood and timing of a qualified equity financing and/or a change in control occurring that would trigger conversion or redemption and believes the amounts disclosed above based on inputs utilized in the valuation are the best estimates at each valuation date.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a result of the Subscription Agreement transaction (Note 8), the triggers for conversion were met for the Notes. On April 5, 2019, the Notes converted with a discount of 30%, which is consistent with the terms of the Notes issued in January 2018 and June 2018, but differs from the 0% discount per the terms of the November 2018, December 2018, January 2019, and February 2019 Notes and the 15% discount per the terms of the January 2019 and February 2019 Notes. The Notes were modified to change the discount percentage from 0% and 15% to 30% at the time of conversion. The Company issued 1,052,358 shares of common stock at 30% discount at $8.69 per share on the date of conversion to extinguish the debt, which resulted in a loss of $0.3 million. This non-cash transaction also resulted in an increase of $13.0 million in additional paid-in capital, which was based on the principal balance outstanding and the unpaid interest upon conversion.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4, 2019, the Company issued the convertible promissory note (the “Promissory Note”) to existing stockholder for $900,000 at 5% interest rate per annum. As of September 30, 2019, the Promissory Note had been converted and was no longer outstanding.</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Promissory Note matured at the earlier of (a) a sale of substantially all of the assets of the Company, (b) the consummation of a reorganization, merger; or consolidation of the Company with another entity or a person, (c) upon a change in control, or (d) July 30, 2019. The Promissory Note also provided the holder an option to convert the Promissory Note into common stock at a price per share equal to $12.41.</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bifurcated the embedded redemption feature, which allows for redemption upon a change in control at 1.5 times principal and unpaid interest, as it was determined to be a redemption feature not clearly and closely related to the debt host. The redemption feature was classified it as a derivative liability and recognized at fair value.</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 xml:space="preserve">For purposes of estimating the fair market value of the derivative liability, the Company used a with and without model. </w:t>
      </w:r>
      <w:r>
        <w:rPr>
          <w:rFonts w:ascii="Times New Roman" w:cs="Times New Roman" w:eastAsia="Times New Roman" w:hAnsi="Times New Roman"/>
          <w:sz w:val="17"/>
          <w:szCs w:val="17"/>
          <w:color w:val="auto"/>
        </w:rPr>
        <w:t>The Company considered several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possible outcomes in the likelihood and timing of and/or a change in control occurring that would trigger redemption and believes the amounts utilized in the valuation are the best estimates of such amounts at each valuation date. The possible outcomes are impacted by the Company’s current capital raising plans and its need for additional funding to continue its development efforts. The inputs used in valuation are unobservable and classified as Level 3 inputs in the fair value hierarchy.</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 the following amounts were recorded: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3"/>
                <w:szCs w:val="13"/>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Issuance Date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 Date</w:t>
            </w:r>
          </w:p>
        </w:tc>
        <w:tc>
          <w:tcPr>
            <w:tcW w:w="0" w:type="dxa"/>
            <w:vAlign w:val="bottom"/>
          </w:tcPr>
          <w:p>
            <w:pPr>
              <w:spacing w:after="0"/>
              <w:rPr>
                <w:sz w:val="1"/>
                <w:szCs w:val="1"/>
                <w:color w:val="auto"/>
              </w:rPr>
            </w:pPr>
          </w:p>
        </w:tc>
      </w:tr>
      <w:tr>
        <w:trPr>
          <w:trHeight w:val="173"/>
        </w:trPr>
        <w:tc>
          <w:tcPr>
            <w:tcW w:w="2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20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the Note</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881,947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16, 2019, the Promissory Note was converted into equity. Former Ocugen issued 73,315 shares of common stock at the conversion date to extinguish the debt at $12.41 per share. This non-cash transaction resulted in an increase of $0.9 million in additional paid-in capital, which was based on the principal balance outstanding and the unpaid interest upon conversion.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Notes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21, 2019, the Company issued senior secured convertible notes to certain Investors for $2.4 million at an original issue discount of $0.5 million, and on June 28, 2019, the Company entered into an agreement to issue additional senior secured convertible notes to the Investors for $2.9 million with an original issue discount of $0.4 million (together “Senior Secured Notes”).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Senior Secured Notes were secured by the intellectual property of the Company. Immediately prior to the Merger completed on September 27, 2019, the Investors offset $5.3 million from the amount to be received under the Pre-Merger Financing and the Senior Secured Notes were deemed to have been repaid and cancelled.</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holders also had an option to convert Senior Secured Notes into common stock at a price per share equal to $10.80 per share at any time after the issuance date. The conversion amount includes unpaid principal, interest and any late fees. The Company assessed the conversion feature and determined that the related value associated with the conversion feature was immaterial.</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bifurcated the redemption feature, which allowed for redemption upon default at 1.35 times principal and unpaid interest, and classified it as a derivative liability recognized at fair value.</w:t>
      </w:r>
    </w:p>
    <w:p>
      <w:pPr>
        <w:spacing w:after="0" w:line="16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8"/>
          <w:szCs w:val="18"/>
          <w:color w:val="auto"/>
        </w:rPr>
        <w:t xml:space="preserve">For purposes of estimating the fair value of the embedded redemption feature, the Company used a with and without model. </w:t>
      </w:r>
      <w:r>
        <w:rPr>
          <w:rFonts w:ascii="Times New Roman" w:cs="Times New Roman" w:eastAsia="Times New Roman" w:hAnsi="Times New Roman"/>
          <w:sz w:val="17"/>
          <w:szCs w:val="17"/>
          <w:color w:val="auto"/>
        </w:rPr>
        <w:t>The inputs used in valuation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unobservable and are considered Level 3 fair value inputs, and include the likelihood and timing of a qualified financing and/or a default occurring that would trigger redemption.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issuance, the following amounts were recorded: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20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Issuance Date</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20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28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2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1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00" w:type="dxa"/>
            <w:vAlign w:val="bottom"/>
          </w:tcPr>
          <w:p>
            <w:pPr>
              <w:spacing w:after="0"/>
              <w:rPr>
                <w:sz w:val="15"/>
                <w:szCs w:val="15"/>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Note</w:t>
            </w:r>
          </w:p>
        </w:tc>
        <w:tc>
          <w:tcPr>
            <w:tcW w:w="2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4"/>
              </w:rPr>
              <w:t>(41,398)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0"/>
              </w:rPr>
              <w:t>(465,000)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1,894,633</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 2019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June 2019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2,875,000</w:t>
            </w:r>
          </w:p>
        </w:tc>
        <w:tc>
          <w:tcPr>
            <w:tcW w:w="160" w:type="dxa"/>
            <w:vAlign w:val="bottom"/>
          </w:tcPr>
          <w:p>
            <w:pPr>
              <w:spacing w:after="0"/>
              <w:rPr>
                <w:sz w:val="18"/>
                <w:szCs w:val="18"/>
                <w:color w:val="auto"/>
              </w:rPr>
            </w:pPr>
          </w:p>
        </w:tc>
        <w:tc>
          <w:tcPr>
            <w:tcW w:w="14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(22,949)</w:t>
            </w:r>
          </w:p>
        </w:tc>
        <w:tc>
          <w:tcPr>
            <w:tcW w:w="12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2,477,051</w:t>
            </w:r>
          </w:p>
        </w:tc>
        <w:tc>
          <w:tcPr>
            <w:tcW w:w="2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 2019</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(64,347</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(840,000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4,371,684</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accretion of the original issue discount amounted to $0.7 million and $0.8 million during the three and nine months ended September 30, 2019, respectively.</w:t>
      </w:r>
    </w:p>
    <w:p>
      <w:pPr>
        <w:spacing w:after="0" w:line="15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Operating leases are included in other assets and lease obligations on the Company’s consolidated balance sheets. Operating lease ROU assets and liabilities are recognized at commencement date based on the present value of lease payments over the lease term. Operating lease payments are recognized as lease expense on a straight-line basis over the lease term. The Company primarily leases buildings (real estate)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incremental borrowing rate is used based on the information available at commencement date in determining the present value of lease payments.</w:t>
      </w:r>
    </w:p>
    <w:p>
      <w:pPr>
        <w:spacing w:after="0" w:line="18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index or rate, and amounts probable to be payable under the exercise of the Company option to purchase the underlying asset if reasonably certain.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Variable lease payments not dependent on a rate or index associated with the Company’s leases are recognized when the event, activity, or circumstance in the lease agreement on which those payments are assessed as probable. Variable lease payments are presented as operating expenses in the Company’s income statement in the same line item as expense arising from fixed lease payments.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used in its operations. The Company’s leases have initial lease terms ranging from one to five years. Certain lease agreements contain provisions for future rent increases.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47,696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gridSpan w:val="2"/>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385,094</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obligations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151,530</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223,853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54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cash flow information and other information related to leases was as follows:</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10"/>
        </w:trPr>
        <w:tc>
          <w:tcPr>
            <w:tcW w:w="5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260,828</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liabilities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245,974</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terms—operating leases (years)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operating minimum lease payments for all leases, exclusive of taxes and other carrying charges, are approximately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2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191,555</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165,574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22,707</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426,888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(51,505)</w:t>
            </w:r>
          </w:p>
        </w:tc>
      </w:tr>
      <w:tr>
        <w:trPr>
          <w:trHeight w:val="210"/>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leases that have not yet commenced which are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Leases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2018, the Company leased specialized research equipment under a lease classified as a financing lease. The leased equipment is amortized on a straight-line basis over five years. Total accumulated amortization related to the leased equipment is $15,954 at September 30, 2019, of which $3,191 and $9,573 were recognized in the three and nine months ended September 30, 2019. The following is a schedule showing the future minimum lease payments under financing leases by years and the present value of the minimum lease payments as of September 30, 2019. The interest rate related to the lease obligation is 7.6 percent and the maturity date is July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all financing leases, exclusive of taxes and other carrying charges, are approximately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240" w:type="dxa"/>
            <w:vAlign w:val="bottom"/>
          </w:tcPr>
          <w:p>
            <w:pPr>
              <w:spacing w:after="0"/>
              <w:rPr>
                <w:sz w:val="15"/>
                <w:szCs w:val="15"/>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23,856</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gridSpan w:val="2"/>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194"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Pre-Merger Financing Warrants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27, 2019, Ocugen completed the Merger with Former Ocugen. Immediately prior to the Merger, Ocugen and Former Ocugen completed a previously announced private placement transaction with certain Investors pursuant to the Financing SPA, whereby, among other things, (i) Former Ocugen issued to the Investors shares of Former Ocugen’s common stock, (ii) Former Ocugen issued and deposited additional shares of Former Ocugen’s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common stock into escrow, and (iii) the Company agreed to issue on the fifth trading day following the consummation of the Merger, Series A Warrants, Series B Warrants, and Series C Warrants.</w:t>
      </w:r>
    </w:p>
    <w:p>
      <w:pPr>
        <w:spacing w:after="0" w:line="16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The Pre-Merger Financing Warrants are subject to blocker provisions which restricts the exercise of the Pre-Merger Financing Warrants if, as a result of such exercise, the holder, together with its affiliates would beneficially own in excess of 4.99% or 9.99% of the outstanding common stock, including the common shares issuable upon such exercise, as such percentage ownership is determined in accordance with the terms of the Pre-Merger Financing Warrants.</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Ocugen fails to issue to a holder of the Pre-Merger Financing Warrants the number of shares of common stock to which such holder is entitled upon such holder’s exercise of the such warrants, then Ocugen shall be obligated to pay the holder on each day while such failure is continuing an amount equal to 2.0% of the market value of the undelivered shares determined using any trading price of the common stock selected by the holder while the failure is continuing and if the holder purchases shares of common stock in connection with such failure, then Ocugen must, at the holder’s discretion, reimburse the holder for the cost of such shares or deliver the owed shares and reimburse the holder for the difference between the price such holder paid for the shares and the market price of such shares, measured at any time of the holder’s choosing while the delivery failure was continuing.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Warrants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Series A Warrants have an initial exercise price per share of $7.13, were exercisable upon issuance and have a term of 60 months from the date of issuance. The Series A Warrants are exercisable for an amount of Ocugen common stock up to the amount issuable upon consummation of the Merger in exchange for 200% of the sum of (i) the number of Converted Initial Shares and (ii) the number of Converted Additional Shares without giving effect to any limitation on delivery contained in the Finance SPA, purchased by the holder.</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Series A Warrants have an anti-dilution adjustment whereby if Ocugen issues or sells, enters into a definitive, binding agreement pursuant to which Ocugen is required to issue or sell or is deemed, pursuant to the provisions of the Series A Warrants, to have issued or sold, any common stock for a price per share lower than the exercise price then in effect (a “Dilutive Issuance”), subject to certain limited exceptions, then (i) the exercise price of the Series A Warrants shall be reduced to such lower price per share and (ii) the number of shares issuable upon exercise of the Series A Warrants shall be increased to the number of shares of common stock determined by multiplying (a) the exercise price in effect immediately prior to such Dilutive Issuance by (b) the number of shares of common stock issuable upon exercise of the Series A Warrants immediately prior to such Dilutive Issuance (without giving effect to any limitation on exercise contained therein), and dividing the product thereof by the exercise price resulting from such Dilutive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Warrants</w:t>
      </w:r>
    </w:p>
    <w:p>
      <w:pPr>
        <w:spacing w:after="0" w:line="2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Series B Warrants have an exercise price of $0.01, were exercisable upon issuance and will expire on the day following the later to occur of (i) the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trading day immediately following the earlier to occur of (a) the first date on which the holders can sell all the shares issuable upon exercise of the Series A Warrants and Series B Warrants without restriction or limitation pursuant to Rule 144 under the Securities Act, and without the requirement to be in compliance with Rule 144(c)(1) and (b) October 4, 2020, and (ii) the date on which the Series B Warrants have been exercised in full (without giving effect to any limitation on exercise contained therein) and no shares remain issuable thereunder. The Series B Warrants will be initially exercisable by a holder for an amount of Ocugen common stock equal to the number (if positive) obtained by subtracting (i) the sum of (a) the number of Converted Initial Shares and</w:t>
      </w:r>
    </w:p>
    <w:p>
      <w:pPr>
        <w:spacing w:after="0" w:line="5" w:lineRule="exact"/>
        <w:rPr>
          <w:sz w:val="20"/>
          <w:szCs w:val="20"/>
          <w:color w:val="auto"/>
        </w:rPr>
      </w:pPr>
    </w:p>
    <w:p>
      <w:pPr>
        <w:ind w:right="180" w:firstLine="8"/>
        <w:spacing w:after="0" w:line="254"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Converted Additional Shares delivered or deliverable to the holder pursuant to the Financing SPA, from (ii) the quotient determined by dividing (a) the pro rata portion of the purchase price paid by such holder by (b) greater of (x) 80% of the sum of the volume-weighted average prices of a share of Ocugen common stock on the Nasdaq Capital Market (“Nasdaq”) for the first three trading days immediately following the closing date of the Pre-Merger Financing divided by three and (y) $1.00.</w:t>
      </w:r>
    </w:p>
    <w:p>
      <w:pPr>
        <w:spacing w:after="0" w:line="186"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18"/>
          <w:szCs w:val="18"/>
          <w:color w:val="auto"/>
        </w:rPr>
        <w:t>Additionally, every ninth trading day up to and including the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trading day (each, a “Reset Date”) following (i) each date on which a registration statement registering any registrable securities for resale by a holder of Purchased Securities is declared effective and/or is available for use, (ii) if there is no effective registration statement</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that is available for use registering all of the shares issuable upon exercise of the Series A Warrants and the Series B Warrants, the earlier to occur of (a) the first date on which the holders can sell all the shares issuable upon exercise of the Series A Warrants and the Series B Warrants without restriction or limitation pursuant to Rule 144 under the Securities Act, and (b) April 4, 2020 (such earlier date, the “Six Month Reset Date”) and (iii) in the event of a Public Information Failure (as defined in the Financing SPA) at any time following the Six Month Reset Date, then the earlier to occur of (a) the date the Public Information Failure is cured and no longer prevents the holder from selling all of the shares issuable upon exercise of the Series A Warrants and the Series B Warrants pursuant to Rule 144 without restriction or limitation, (b) the first date on which the holders can sell all the shares issuable upon exercise of the Series A Warrants and the Series B Warrants without restriction or limitation pursuant to Rule 144 under the Securities Act and without the requirement to be in compliance with Rule 144(c)(1), and (c) October 4, 2020 (such 45 trading day period, the “Reset Period” and each such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trading day after (i), (ii), or (iii), the “End Reset Date”), the number of shares issuable upon exercise of the Series B Warrants shall be increased to the number (if positive) obtained by subtracting (i) the sum of (a) the number of Converted Initial Shares and (b) the number of Converted Additional Shares delivered or deliverable to the holder pursuant to the Securities Purchase Agreement, from (ii) the quotient determined by dividing (a) the pro rata portion of the purchase price paid by such holder, by (b) the greater of (y) 80% of the arithmetic average of the two lowest dollar volume-weighted average prices of a share of Ocugen common stock on Nasdaq during the applicable Reset Period immediately preceding the applicable Reset Date to date and (z) $1.00 (which amount shall not be adjusted for reverse stock splits or other similar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Warrants</w:t>
      </w:r>
    </w:p>
    <w:p>
      <w:pPr>
        <w:spacing w:after="0" w:line="22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Series C Warrants are exercisable upon issuance for up to 50.0 million shares of common stock at an exercise price of $7.13 per share and will expire upon the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trading day immediately following the earlier to occur of (i) the date the holder can sell all shares issuable upon exercise of the Series C Warrants pursuant to Rule 144 without restriction or limitation and without the requirement to be in compliance with Rule 144(c)(1) and (ii) October 4, 2020, provided that if such date falls on a day other than a business day or on which trading does not take place on Nasdaq (a “Holiday”), the next day that is not a Holiday. If the volume-weighted average trading price of a share of Ocugen common stock on Nasdaq is less than or equal to $1.20 per share on any five trading days following the date of issuance and prior to the expiration date of the Series C Warrants, the holder may, in lieu of making any cash payment in connection with the exercise of the Series C Warrants, elect to receive a number of shares of common stock equal to the number of Series C Warrants. Subsequent to September 30, 2019, the Pre-Merger Financing Warrants were amended to, among other things, reduce the number of Series C Warrants from 50.0 million to 20.0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the Pre-Merger Financing Warrants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2019, the Series A Warrants and Series C Warrants are classified as equity and the Series B Warrants are classified as a liability on the condensed consolidated balance sheet.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Series B Warrants are classified as a liability as they do not meet the derivative scope exception to be accounted for within stockholders’ equity. The Series B Warrants do not qualify for criteria related to equity indexation because the reset date is triggered based on effective date of the S-3 Registration Statement (as defined in Note 12) and the timing of when a registration statement for the underlying shares is available is not an input in an option pricing model. Series B Warrants were treated as a derivative liability in the condensed consolidated balance sheet, measured at fair value and marked to market each reporting period.</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the Series B Warrants was calculated using Monte Carlo simulation while estimating the stock price during the 45-day reset period, based on the terms described within the Financing SPA. Key fair value inputs included the starting stock price, expected stock volatility during the 45-day reset period, and additional shares issued from escrow. The methodology for measuring fair value is sensitive to the expected stock volatility assumption input mentioned above. The volatility used in the fair value estimate was 96.0% and 97.0% as of September 27, 2019 and September 30, 2019, respectively. Inputs used in the valuation are unobservable and are therefore classified as Level 3 fair value inputs.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Series B Warrant liability measured at fair value using Level 3 significant unobservable inputs: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-119380</wp:posOffset>
            </wp:positionV>
            <wp:extent cx="477647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76470" cy="14605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at issuance — September 27, 2019</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fair value of embedded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7764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Balance at September 30, 2019</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373"/>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right="2373"/>
        <w:spacing w:after="0"/>
        <w:rPr>
          <w:sz w:val="20"/>
          <w:szCs w:val="20"/>
          <w:color w:val="auto"/>
        </w:rPr>
      </w:pPr>
      <w:r>
        <w:rPr>
          <w:rFonts w:ascii="Times New Roman" w:cs="Times New Roman" w:eastAsia="Times New Roman" w:hAnsi="Times New Roman"/>
          <w:sz w:val="14"/>
          <w:szCs w:val="14"/>
          <w:b w:val="1"/>
          <w:bCs w:val="1"/>
          <w:color w:val="auto"/>
        </w:rPr>
        <w:t>2019</w:t>
      </w:r>
    </w:p>
    <w:p>
      <w:pPr>
        <w:spacing w:after="0" w:line="9" w:lineRule="exact"/>
        <w:rPr>
          <w:sz w:val="20"/>
          <w:szCs w:val="20"/>
          <w:color w:val="auto"/>
        </w:rPr>
      </w:pPr>
    </w:p>
    <w:p>
      <w:pPr>
        <w:ind w:left="1167" w:hanging="1167"/>
        <w:spacing w:after="0"/>
        <w:tabs>
          <w:tab w:leader="none" w:pos="11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6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9,387,760</w:t>
      </w:r>
    </w:p>
    <w:p>
      <w:pPr>
        <w:spacing w:after="0" w:line="9"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8"/>
          <w:szCs w:val="18"/>
          <w:color w:val="auto"/>
        </w:rPr>
        <w:t>18,577,226</w:t>
      </w:r>
    </w:p>
    <w:p>
      <w:pPr>
        <w:spacing w:after="0" w:line="9" w:lineRule="exact"/>
        <w:rPr>
          <w:sz w:val="20"/>
          <w:szCs w:val="20"/>
          <w:color w:val="auto"/>
        </w:rPr>
      </w:pPr>
    </w:p>
    <w:p>
      <w:pPr>
        <w:ind w:left="547" w:hanging="547"/>
        <w:spacing w:after="0"/>
        <w:tabs>
          <w:tab w:leader="none" w:pos="54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27,964,986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857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857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857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973" w:space="720"/>
            <w:col w:w="3727"/>
          </w:cols>
          <w:pgMar w:left="240" w:top="121" w:right="239" w:bottom="1440" w:gutter="0" w:footer="0" w:header="0"/>
          <w:type w:val="continuous"/>
        </w:sectPr>
      </w:pP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the Pre-Merger Financing Warrants were issued on October 4, 2019, the agreement for issuance of the Pre-Merger Financing Warrants was a firm commitment reached between Ocugen and the Investors as part of the Financing SPA upon the closing of the Merger. Therefore, the derivative liability related to the Series B Warrants was valued as of the date of the Merger and subsequently remeasured as of September 30, 2019.</w:t>
      </w:r>
    </w:p>
    <w:p>
      <w:pPr>
        <w:spacing w:after="0" w:line="17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B, and C Warrants were issued on October 4, 2019 as follows:</w:t>
      </w:r>
    </w:p>
    <w:p>
      <w:pPr>
        <w:spacing w:after="0" w:line="225" w:lineRule="exact"/>
        <w:rPr>
          <w:sz w:val="20"/>
          <w:szCs w:val="20"/>
          <w:color w:val="auto"/>
        </w:rPr>
      </w:pPr>
    </w:p>
    <w:p>
      <w:pPr>
        <w:ind w:left="660" w:right="480" w:hanging="328"/>
        <w:spacing w:after="0" w:line="282" w:lineRule="auto"/>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Warrants were issued at an initial exercise price of $7.13, were immediately exercisable upon issuance. The Series A Warrants are exercisable for 8,771,928 common stock in the aggregate.</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Warrants were issued at an exercise price of $0.01 and were immediately exercisable upon issuance. The Series B Warrants are initially exercisable for 8,007,461 common stock subject to adjustment based on reset provision in the warrant agreement. After factoring this initial issuance, the potential maximum additional warrants issuable under the Series B Warrants, during the reset period, is 12.6 million warrants.</w:t>
      </w:r>
    </w:p>
    <w:p>
      <w:pPr>
        <w:spacing w:after="0" w:line="1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Warrants were issued at an initial exercise price of $7.13, were immediately exercisable upon issuance. The Series C Warrants were exercisable for up to 50.0 million shares of common stock prior to the Warrant Amendments,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Converted Additional Shares from Escrow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4, 2019, the Converted Additional Shares were released from escrow to the investors because, as determined at the close of business on</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October 2, 2019, 80% of the volume-weighted average trading price of a share of Ocugen’s common stock as quoted on Nasdaq for the first three trading days immediately following the closing date of the Pre-Merger Financing was lower than the price paid by the Investors for the Initial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NeoCart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Intangible Asset Held for Sale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described in Note 4, Histogenics entered into the Asset Purchase Agreement with Medavate, the closing of which was subject to and conditioned upon the consummation of the Merger. On September 26, 2019, the parties entered into an amendment to the Asset Purchase Agreement whereby the closing date was amended to October 4, 2019. On October 4, 2019, the parties entered into the Second Amendment to the Asset Purchase Agreement whereby the purchase price was increased to $7.0 million under the Asset Purchase Agreement and the Closing Date of the Asset Purchase Agreement was revised from October 4, 2019 to two business days after Medavate obtains financing in an amount no less than the purchase price. The Second Amendment further provides that if the Closing Date does not occur on or prior to October 31, 2019, Ocugen may choose to terminate the Asset Purchase Agreement and, if Ocugen does not terminate the Asset Purchase Agreement, the purchase price shall increase 10% per month (or any portion thereof) between October 31, 2019 and the Closing Date. Ocugen has not terminated the Asset Purchase Agreement and as of November 1, 2019, the purchase price has increased to $7.7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Statement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Registration statement number 333-234127 filed on Form S-3 by Ocugen (the “Registration Statement”) became effective on November 5, 2019. The Registration Statement relates solely to the resale by certain investors listed therein (in the section titled “Selling Stockholders”), of up to 111,540,825 shares of the Company’s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9, 2019, Ocugen announced that its Board of Directors unanimously approved a share repurchase program authorizing the repurchase of up to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 million in value of the outstanding common stock. Pursuant to this repurchase program, Ocugen plans to repurchase the common stock provided that the timing, actual number and price per share of the common stock to be purchased will be subject to management discretion and board guidance, market conditions, applicable legal requirements, including Rule 10b-18 of the Exchange Act and various other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Amendments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November 5, 2019, the Company entered into an agreement with each Investor that amends the terms of each of the Pre-Merger Financing Warrants held by each such Investor (collectively, the “Warrant Amendments”). Pursuant to the Warrant Amendments, the Company and each Investor agreed, among other things, to the following:</w:t>
      </w:r>
    </w:p>
    <w:p>
      <w:pPr>
        <w:spacing w:after="0" w:line="176" w:lineRule="exact"/>
        <w:rPr>
          <w:sz w:val="20"/>
          <w:szCs w:val="20"/>
          <w:color w:val="auto"/>
        </w:rPr>
      </w:pPr>
    </w:p>
    <w:p>
      <w:pPr>
        <w:ind w:left="660" w:right="640" w:hanging="328"/>
        <w:spacing w:after="0" w:line="282"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C Warrants were amended such that they are exercisable, in the aggregate for up to 20 million shares of common stock. They had previously been exercisable for up to 50 million shares of common stock.</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Series C Warrants was also amended to permit the Investors, in lieu of making any cash payment otherwise contemplated to be made to the Company upon the exercise of the Series C Warrant, to elect instead to receive upon such exercise up to 20 million shares of common</w:t>
      </w:r>
    </w:p>
    <w:p>
      <w:pPr>
        <w:jc w:val="both"/>
        <w:ind w:left="6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Prior to the Warrant Amendments, the Series C Warrants had permitted the exercise without any cash payment of up to 50.0 million shares of common stock in the event that the volume weighted-average price of the common stock on Nasdaq was less than or equal to $1.20 per share on any five trading days following the issuance of the Series C Warrants.</w:t>
      </w:r>
    </w:p>
    <w:p>
      <w:pPr>
        <w:spacing w:after="0" w:line="186" w:lineRule="exact"/>
        <w:rPr>
          <w:rFonts w:ascii="Times New Roman" w:cs="Times New Roman" w:eastAsia="Times New Roman" w:hAnsi="Times New Roman"/>
          <w:sz w:val="18"/>
          <w:szCs w:val="18"/>
          <w:color w:val="auto"/>
        </w:rPr>
      </w:pPr>
    </w:p>
    <w:p>
      <w:pPr>
        <w:ind w:left="660" w:hanging="328"/>
        <w:spacing w:after="0" w:line="266" w:lineRule="auto"/>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Series A Warrant was amended such that an equity financing involving a research or non-profit foundation or organization qualified under Section 501(c) of the Internal Revenue Code of 1986, as amended, in an amount of gross proceeds not to exceed $10,000,000 and closing on or prior to May 31, 2020, will be excluded from the anti-dilution adjustment, as set forth in the Series A Warrant.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Concurrently with the effectiveness of the Warrant Amendments, the Investors exercised an aggregate of 3,797,329 Series C Warrants each for one share of common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for the year ended December 31, 2018, included in our Form 8-K/A filed with the SEC on October 7, 2019.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and “Disclosure Regarding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Ocugen is a clinical stage biopharmaceutical company focused on discovering, developing and commercializing a pipeline of innovative therapies, including gene therapies and biologicals, to address rare and underserved eye diseases.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Ocugen is developing a modifier gene therapy platform for unmet medical needs in the area of retinal diseases, including inherited retinal diseases (“IRDs”). Ocugen’s modifier gene therapy platform is novel in that it targets nuclear hormone receptor (“NHR”) genes, which have the potential to restore homeostasis to the retina and may target multiple genes that are associated with a range of IRDs. Unlike single-gene replacement therapies, which only target one genetic mutation, Ocugen believes that its gene therapy platform, through its targeting of NHRs, may impact multiple genes that are associated with a range of genetically diverse diseases. Ocugen’s first gene therapy candidate, OCU400 has received two Orphan Drug Designation (“ODD”), from the Food and Drug Administration (the “FDA”), for the treatment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mutation-associated retinal disease and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mutation-associated retinal disease. OCU400 uses an adeno-associated virus vector (“AAV”). Ocugen is planning to initiate a Phase 1/2a clinical trial for OCU400 in 2021. Ocugen’s second gene therapy product candidate, OCU410, is targeted for dry age-related macular degeneration (“dry AMD”). Currently, there are no approved FDA therapies to treat this disease.</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OCU300, a late-stage product candidate, has also received ODD from the FDA. OCU300 is a small molecule therapeutic currently in Phase 3 clinical development for patients with ocular graft-versus-host disease (“oGVHD”). Ocugen is the first and only company to receive ODD for the treatment of oGVHD and the only company conducting Phase 3 studies in this patient population. Ocugen estimates the prevalence of patients suffering from oGVHD in the United States will be approximately 63,000 by 2020. The final manufacturing processes for OCU300 has been scaled up by Ocugen’s existing contract manufacturer at a cGMP facility located in the United States to support potential commercialization, and chemistry, manufacturing and control (“CMC”) development is ongoing.</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OCU300 is formulated using Ocugen’s proprietary nanoemulsion technology, OcuNanoE—Ocugen’s ONE Platform™ (“OcuNanoE™”). Ocugen is the first and only company to use nanoemulsion technology in the ophthalmology space, and Ocugen believes that OcuNanoE™ provides additional protection to the ocular surface in connection with the delivery of therapies for certain retinal disease. Ocugen’s technology delivers the active drug with the use of defined narrow-range globules with an average diameter of less than 100 nanometers. Ocugen believes this provides the potential for enhanced efficacy compared to traditional formulations.</w:t>
      </w:r>
    </w:p>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Ocugen has completed a Phase 3 clinical trial for OCU310 and although the study showed that OCU310 is well tolerated, as demonstrated by no adverse events regarding as “severe”, it did not meet its co-primary endpoints for symptoms and signs.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Ocugen is developing OCU200, a novel fusion protein, which is currently in preclinical development for treating wet age-related macular degeneration (“wet AMD”). Ocugen expects to initiate a Phase 1/2 clinical trial for OCU200</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within the next two years. In addition, Ocugen plans to expand the therapeutic applications of OCU200 beyond wet AMD to potentially include diabetic retinopathy (“DR”), diabetic macular edema (“DME”), macular edema following retinal vein occlusion (“RVO”), and myopic choroidal neovascularization (“mCNV”). Ocugen’s novel biologic, OCU100 for the treatment of retinitis pigmentosa (“RP”) has received ODD in the United States and the European Union.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date, Ocugen has viewed its operations and manages its business as one operating segment. As of September 30, 2019, all of Ocugen’s assets were located in the United States. Its headquarters and operations are located in Malvern,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costs consist of internal and external expenses. Internal expenses include the cost of salaries, benefits and other related costs, including stock-based compensation, for personnel serving in Ocugen’s product development functions, as well as allocated rent and utilities expenses. External expenses include development, clinical trials, patent costs and regulatory compliance costs incurred with research organizations and other third-party vendors. License fees paid to acquire access to proprietary technology are expensed to research and development unless it is determined that the technology is expected to have an alternative future use. All patent-related costs incurred in connection with filing and prosecuting patent applications are expensed as incurred to research and development expense due to the uncertainty about the recovery of the expenditure. Ocugen records costs for certain development activities, such as clinical trials, based on its evaluation of the progress to completion of specific tasks using data such as patient enrollment, clinical site activations, or information provided to Ocugen by Ocugen’s vendors on their actual costs incurred. Payments for these activities are based on the terms of the individual arrangements, which may differ from the pattern of costs incurred, and are reflected in the consolidated financial statements as prepaid or accrued research and development expense, as the case may be.</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Ocugen plans to incur research and development expenses for the foreseeable future as it expects to continue development and eventual commercialization of one or more of its product candidates, if approved. Ocugen anticipates that its research and development expenses will increase substantially as compared to prior periods as it completes its Phase 3 trial with respect to OCU300 and prepares to commence Phase 1 trials with respect to OCU400 and OCU200, and otherwise develops and prepares for commercialization of its product candidates. At this time, due to the inherently unpredictable nature of preclinical and clinical development, Ocugen is unable to estimate with any certainty the costs it will incur and the timelines it will require in its continued development efforts.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successful development and completion of clinical trials is uncertain and may not result in approved products. Completion dates and completion costs can vary significantly for each future product candidate and are difficult to predict. Ocugen will continue to make determinations as to which product candidates to pursue and how much funding to direct to each product candidate on an ongoing basis in response to its ability to enter into collaborations with respect to each product candidate, the scientific and clinical success of each product candidate as well as ongoing assessments as to the commercial potential of each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expenses, including salaries, benefits and stock-based compensation expense, for employees in executive, accounting and other administrative functions. General and administrative expense also includes corporate facility costs, including rent and utilities, as well as legal fees related to corporate matters and fees for accounting and other consulting services.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Ocugen anticipates that its general and administrative expense will increase as a result of an expanded infrastructure and an increased headcount. Ocugen anticipates higher corporate infrastructure costs including, but not limited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accounting, legal, human resources, consulting and investor relations fees, as well as increased director and officer insurance premiums, associated with becoming a public company. Additionally, if and when Ocugen believes a regulatory approval of a product candidate appears likely, it anticipates an increase in payroll and expense as a result of its preparation for commercial operations, especially as it relates to the sales and marketing of its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liabilities includes the change in fair value each reporting period of the conversion and change in control features embedded in certain of the outstanding convertible promissory notes, which was required to be bifurcated and recognized at fair value. There are no such embedded derivatives valued as of September 30, 2019, due to either the payment or conversion of the related notes. For the three and nine months ended September 30, 2019, the change in fair value of derivative liabilities also includes the change in fair value of the Series B Warrant which was estimated using a Monte Carlo simulation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Other income (expense) consists primarily of interest expense, including the amortization of debt issuance costs related to Ocugen’s debt and accretion of the discount created by the bifurcation of the embedded conversion features and embedded change in control features from certain of the convertible promissory notes, interest income earned on Ocugen’s cash and cash equivalents held with institutional banks, and foreign currency income (losses) due to exchange rate fluctuations on transactions denominated in a currency other than its functional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Ocugen’s consolidated financial statements are prepared in accordance with U.S. generally accepted accounting principles (“GAAP”). The preparation of Ocugen’s financial statements requires it to make estimates and judgments that affect the reported amounts of assets and liabilities, disclosure of contingent assets and liabilities at the date of the financial statements and the reported amounts of expenses during the reported period. Ocugen bases its estimates on historical experience, known trends and events and various other factors that it believes to be reasonable under the circumstances, the results of which form the basis for making judgments about the carrying values of assets and liabilities that are not readily apparent from other sources. Ocugen evaluates its estimates and assumptions on an ongoing basis. Ocugen’s actual results may differ from these estimates under different assumptions and conditions.</w:t>
      </w:r>
    </w:p>
    <w:p>
      <w:pPr>
        <w:spacing w:after="0" w:line="17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While Ocugen’s significant accounting policies are described in more detail in the notes to its condensed consolidated financial statements appearing elsewhere in this report, Ocugen believes that the following accounting policies and estimates are those most critical to the preparation of its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Ocugen accounts for its stock-based compensation awards in accordance with the Financial Accounting Standards Board’s (“FASB”) Accounting Standards Codification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stock-based payments to employees, including grants of employee stock options and restricted stock units and modifications to existing agreements, to be recognized in the statements of operations based on their fair values. Ocugen uses the Black-Scholes option-pricing model to determine the fair value of options granted.</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Ocugen’s stock-based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to the extent achievement of the performance condition is probable.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Estimating the fair value of options requires the input of subjective assumptions, including expected life of the option,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stock price volatility, the risk-free interest rate and expected dividends. The assumptions used in Ocugen’s Black-Scholes option-pricing model represent management’s best estimates and involve a number of variables, uncertainties and assumptions and the application of management’s judgment, as they are inherently subjective. If any assumptions change, Ocugen’s stock-based compensation expense could be materially different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assumptions used in Ocugen’s Black-Scholes option-pricing model are as follows:</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Due to the historical lack of a public market for the trading of Ocugen common stock and the lack of sufficient company-specific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the expected term of employee options is determined using the “simplified” method, as prescribed in SEC’s Staff Accounting Bulletin (“SAB No. 107”), whereby the expected life equals the arithmetic average of the vesting term and the original contractual term of the option. The expected term of non-employee options is equal to the contractual term.</w:t>
      </w:r>
    </w:p>
    <w:p>
      <w:pPr>
        <w:spacing w:after="0" w:line="18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historical volatilities of similar entities within Ocugen’s industry which were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assumption as described in SAB No. 107.</w:t>
      </w:r>
    </w:p>
    <w:p>
      <w:pPr>
        <w:spacing w:after="0" w:line="1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commensurate with the assumed expected term.</w:t>
      </w:r>
    </w:p>
    <w:p>
      <w:pPr>
        <w:spacing w:after="0" w:line="15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Ocugen has not historically paid, and does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its common stock.</w:t>
      </w:r>
    </w:p>
    <w:p>
      <w:pPr>
        <w:spacing w:after="0" w:line="1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$0.2 million for the three months ended September 30, 2019 and 2018, respectively, and $0.7 million for the nine months ended September 30, 2019 and 2018, respectively. At September 30, 2019, Ocugen had $1.0 million of unamortized stock-based compensation expense related to unvested service-based stock options, which is expected to be recognized over a remaining weighted-average vesting period of 1.6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derivative liabilities include embedded conversion features bifurcated from Ocugen’s convertible notes because the number of shares of common stock to be issued upon conversion is variable and embedded change in control features because it represents a redemption feature not clearly and closely related to the debt host. Ocugen estimated the fair value of the embedded conversion, redemption and change in control features at each issuance of convertible promissory notes and at the end of each reporting period using an income approach model. Inputs into this model include the expected time until conversion or change in control and Ocugen’s estimate of the probability of conversion or change in control occurring. There are no such derivatives valued as of September 30, 2019, due to either the payment or conversion of the related notes.</w:t>
      </w:r>
    </w:p>
    <w:p>
      <w:pPr>
        <w:spacing w:after="0" w:line="18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Ocugen issued warrants to purchase common stock and accounts for it warrants in accordance with FASB ASC Topic 815-40,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w:t>
      </w:r>
      <w:r>
        <w:rPr>
          <w:rFonts w:ascii="Times New Roman" w:cs="Times New Roman" w:eastAsia="Times New Roman" w:hAnsi="Times New Roman"/>
          <w:sz w:val="18"/>
          <w:szCs w:val="18"/>
          <w:color w:val="auto"/>
        </w:rPr>
        <w:t>(“ASC 815-40”), which is the authoritative guidance on accounting for derivative financial instruments indexed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settled in a company’s own stock. To determine whether a contract is considered indexed to the issuer’s own equity, the Company performs the following two-step analysis: (1) evaluate whether the contract contains any exercise contingencies and, if so, whether they disqualify the contract from being classified as equity, and (2) assess whether the settlement terms are consistent with equity classification.</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Ocugen entered into a Securities Purchase Agreement with certain accredited investors, pursuant to which Ocugen issued three series of warrants, Series A warrants, Series B warrants and Series C warrants. The Series A warrants and Series C warrants were determined to meet the criteria for equity classification. As of September 30, 2019, the Series B warrants were recognized as a derivative liability as they did not meet the criteria related to equity indexation. The Company classified the Series B warrants on its condensed consolidated balance sheet as a derivative liability which is recognized at fair value at each reporting period subsequent to the initial issuance. Changes in the fair value of derivatives are recognized as other income (expense) in the condensed consolidated statements of operations and comprehensive loss.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Ocugen estimated the fair value of Series B warrants using the Monte Carlo simulation model. Key fair value inputs included the starting stock price, expected stock price volatility during a 45-day reset period, and additional shares issued from escrow. The methodology for measuring fair value is sensitive to the expected stock volatility assumption input mentioned above. Inputs used in the valuation are unobservable and are therefore classified as Level 3 fair value inputs. The use of different valuation techniques or assumptions could result in materially different fair value estimates. See Note 11 in the notes to the condensed consolidated financial statements included in this report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Ocugen’s operations for the three months ended September 30, 2019 and 2018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(2,714)</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(18,512)</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(1,002)</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$0.3 million or 16.4% for the three months ended September 30, 2019 when compared to the three months ended September 30, 2018 primarily as a result of a decrease in clinical trial activities. Specifically, the patient activity in the year-over-year comparison for OCU300 was lower in 2019, causing a $0.2 million decrease in clinical activities. Also, the OCU300 trial was well into Phase 3 by the third quarter of 2019 causing a $0.1 million decrease in preclinical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or 67.0% for the three months ended September 30, 2019 when compared to the three months ended September 30, 2018. The increase was primarily related to a $0.8 million increase in professional fees related to preparing for operating as a public company, partially offset by decreases of $0.1 million in stock-based compensation and wages and salaries due to reduced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change in fair value of derivative liability was a loss of $18.5 million for the three months ended September 30, 2019 compared to a gain of $1.5 million for the three months ended September 30, 2018. The loss relates to the remeasurement of the Series B warrant liability recognized in the third quarter of 2019. The gain relates to the remeasurement of embedded features on the convertible notes which were issued during the second quarter of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$0.8 million for the three months ended September 30, 2019 compared to $1.0 million for the three months ended September 30,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decreased expense is primarily due to the conversion and repayment of debt during the fiscal year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expense was a $0.8 million the three months ended September 30, 2019 compared to a de minimis amount for the three months ended September 30, 2018. The expense for the three months ended September 30, 2019 primarily relates to equity issuance fees associated with the Series B warrants, which were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Ocugen’s operations for the nine months ended September 30, 2019 and 2018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6,339</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(19,897)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conversion</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4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w:t>
            </w: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(3,035)</w:t>
            </w: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$1.1 million or 14.4% for the nine months ended September 30, 2019 when compared to the nine months ended September 30, 2018 primarily as a result of a net decrease in program development and clinical trial activities of $0.7 million and a decrease of $0.4 million in other costs.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Specifically, OCU310 clinical trial activities increased in 2019 by $2.1 million related to the Phase 3 clinical trial. This increase was offset by (a) $2.5 million of decreases in preclinical and manufacturing activities within OCU100, OCU200, OCU300, and OCU310, (b) a $0.2 million decrease in OCU300 clinical activities and (c) a $0.1 million decrease in OCU400 preclinical activities.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$0.4 million decrease in other research and development costs is primarily related to a decrease in employee-related expenses due to a decrease in headcount.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or 16.3%, for the nine months ended September 30, 2019 when compared to the nine months ended September 30, 2018. The increase was primarily due to a $1.2 million increase in professional fees related to preparing for operating as a public company, partially offset by a $0.4 million decrease in employee-related expenses resulting from a decrease in headcount, and a decrease of $0.2 million resulting from severance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change in fair value of derivative liability was a loss of $19.9 million for the nine months ended September 30, 2019 compared to a gain of $1.2 million related to a change in fair value of the derivatives related to the debt instruments for the nine months ended September 30, 2018. The loss for the nine months ended September 30, 2019 primarily relates to the remeasurement of the Series B Warrant liability.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conversion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debt conversion of $0.3 million primarily relates to 2019 conversions of all previously issued convertible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was $1.8 million for the nine months ended September 30, 2019 and $3.0 million for the nine months ended September 30, 2018. The lower interest expense was primarily due to the 2019 conversions of all previously issued convertible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expense was $0.8 million the nine months ended September 30, 2019 compared to a de minimis amount for the nine months ended September 30, 2018. Other expense for the nine months ended September 30, 2019 primarily relates to equity issuance fees associated with the Series B Warrants, which were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Ocugen has not generated any revenue to date and has primarily funded its operations to date through the sale and issuance of common stock and warrants to purchase common stock, proceeds from convertible notes payable, and debt. Specifically, since its inception and through September 30, 2019, Ocugen has raised an aggregate of $47.7 million to fund its operations, of which $31.6 million was from the sale of Ocugen common stock and warrants, $14.9 million was from convertible notes, $1.0 million was from borrowings under the EB-5 Program, and $0.2 million was a grant for research from the State of Colorado. As of September 30, 2019, Ocugen had $15.5 million in cash, cash equivalents and restricted cash.</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Ocugen’s inception, it has devoted substantial resources to research and development and has incurred significant net losses and expects to continue to incur net losses for the foreseeable future. Ocugen incurred net losses of approximately $32.6 million and $12.3 million for the nine months ended September 30, 2019 and 2018, respectively. As of September 30, 2019, Ocugen had an accumulated deficit of $63.9 million.</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it is difficult to predict future liquidity requirements, Ocugen believes that the net proceeds from the Pre-Merger Financing, together with the existing cash and cash equivalents of the combined company, will be sufficient to fund its operations into mid-2020, during which time, Ocugen expects to continue its development efforts with respect to its product candidates. However, in case of regulatory delays or other unforeseen events, we may require additional funding to accomplish these objectives. Ocugen will need to raise additional capital in the future to further the development and commercialization of its other product candidates. Until such time, if ever, as Ocugen generates product revenue, Ocugen expects to obtain additional financing through the issuance of its common stock, through other equity or debt financings or through collaborations or partnerships with other companies. Ocugen may not be able to raise additional capital on terms acceptable to it, or at all, and any failure to raise capital as and when needed could compromise its ability to execute on its business plan and cause it to delay or curtail its operations until such funding is received.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Ocugen’s cash flows for the periods indicated (in thousands):</w:t>
      </w:r>
    </w:p>
    <w:p>
      <w:pPr>
        <w:spacing w:after="0" w:line="21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260" w:type="dxa"/>
        <w:tblCellMar>
          <w:top w:w="0" w:type="dxa"/>
          <w:left w:w="0" w:type="dxa"/>
          <w:bottom w:w="0" w:type="dxa"/>
          <w:right w:w="0" w:type="dxa"/>
        </w:tblCellMar>
      </w:tblPr>
      <w:tr>
        <w:trPr>
          <w:trHeight w:val="142"/>
        </w:trPr>
        <w:tc>
          <w:tcPr>
            <w:tcW w:w="79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(8,150)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gridSpan w:val="2"/>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(2,336)</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24,159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6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was $8.1 million for the nine months ended September 30, 2019 compared with $8.8 million for the nine months ended September 30,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$2.3 million for the nine months ended September 30, 2019 compared with $0.1 million for the nine months ended September 30, 2018. The $2.3 million increase in cash used is primarily related to costs associated with the Merger.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$24.2 million for the nine months ended September 30, 2019 compared to $5.3 million for the nine months ended September 30, 2018. This $18.9 million increase is primarily due to the $22.4 million of proceeds received from the Pre-Merger Financing transaction, $1.0 million from issuance of the Promissory Note, and $0.8 million increase from proceeds received relate to the issuance of the convertible debt. These increases were partially offset by payment of $5.3 million to settle the convertible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Ocugen expects to continue to incur significant expenses in connection with its ongoing activities, particularly as it continues research and development, including clinical development activities of its product candidates, increases its headcount and adds operational, financial and information systems to execute its business plan, maintains, expands and protects its patent portfolio, contracts to manufacture its product candidates, and operates as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Ocugen’s future funding requirements, both near- and long-term, will depend on many factors, including, but not limited to:</w:t>
      </w:r>
    </w:p>
    <w:p>
      <w:pPr>
        <w:spacing w:after="0" w:line="225" w:lineRule="exact"/>
        <w:rPr>
          <w:sz w:val="20"/>
          <w:szCs w:val="20"/>
          <w:color w:val="auto"/>
        </w:rPr>
      </w:pPr>
    </w:p>
    <w:p>
      <w:pPr>
        <w:ind w:left="940" w:hanging="439"/>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its product candidates;</w:t>
      </w:r>
    </w:p>
    <w:p>
      <w:pPr>
        <w:spacing w:after="0" w:line="225" w:lineRule="exact"/>
        <w:rPr>
          <w:rFonts w:ascii="Times New Roman" w:cs="Times New Roman" w:eastAsia="Times New Roman" w:hAnsi="Times New Roman"/>
          <w:sz w:val="18"/>
          <w:szCs w:val="18"/>
          <w:color w:val="auto"/>
        </w:rPr>
      </w:pPr>
    </w:p>
    <w:p>
      <w:pPr>
        <w:ind w:left="940" w:hanging="439"/>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its product candidates by the FDA;</w:t>
      </w:r>
    </w:p>
    <w:p>
      <w:pPr>
        <w:spacing w:after="0" w:line="225" w:lineRule="exact"/>
        <w:rPr>
          <w:rFonts w:ascii="Times New Roman" w:cs="Times New Roman" w:eastAsia="Times New Roman" w:hAnsi="Times New Roman"/>
          <w:sz w:val="18"/>
          <w:szCs w:val="18"/>
          <w:color w:val="auto"/>
        </w:rPr>
      </w:pPr>
    </w:p>
    <w:p>
      <w:pPr>
        <w:ind w:left="940" w:hanging="439"/>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costs of manufacturing and commercialization;</w:t>
      </w:r>
    </w:p>
    <w:p>
      <w:pPr>
        <w:spacing w:after="0" w:line="225" w:lineRule="exact"/>
        <w:rPr>
          <w:rFonts w:ascii="Times New Roman" w:cs="Times New Roman" w:eastAsia="Times New Roman" w:hAnsi="Times New Roman"/>
          <w:sz w:val="18"/>
          <w:szCs w:val="18"/>
          <w:color w:val="auto"/>
        </w:rPr>
      </w:pPr>
    </w:p>
    <w:p>
      <w:pPr>
        <w:ind w:left="940" w:hanging="439"/>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its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940" w:hanging="439"/>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it;</w:t>
      </w:r>
    </w:p>
    <w:p>
      <w:pPr>
        <w:spacing w:after="0" w:line="225" w:lineRule="exact"/>
        <w:rPr>
          <w:rFonts w:ascii="Times New Roman" w:cs="Times New Roman" w:eastAsia="Times New Roman" w:hAnsi="Times New Roman"/>
          <w:sz w:val="18"/>
          <w:szCs w:val="18"/>
          <w:color w:val="auto"/>
        </w:rPr>
      </w:pPr>
    </w:p>
    <w:p>
      <w:pPr>
        <w:ind w:left="1000" w:right="200" w:hanging="499"/>
        <w:spacing w:after="0" w:line="282" w:lineRule="auto"/>
        <w:tabs>
          <w:tab w:leader="none" w:pos="9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and increasing headcount, as well as the higher corporate infrastructure costs associated with becoming a public company; and</w:t>
      </w:r>
    </w:p>
    <w:p>
      <w:pPr>
        <w:spacing w:after="0" w:line="161" w:lineRule="exact"/>
        <w:rPr>
          <w:rFonts w:ascii="Times New Roman" w:cs="Times New Roman" w:eastAsia="Times New Roman" w:hAnsi="Times New Roman"/>
          <w:sz w:val="18"/>
          <w:szCs w:val="18"/>
          <w:color w:val="auto"/>
        </w:rPr>
      </w:pPr>
    </w:p>
    <w:p>
      <w:pPr>
        <w:ind w:left="940" w:hanging="439"/>
        <w:spacing w:after="0"/>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in-licenses or acquires other products, product candidates or technologies.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Ocugen believes that the net proceeds from the Pre-Merger Financing, together with the existing cash and cash equivalents of the combined company, will be sufficient to fund its operations into mid-2020, during which time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Ocugen expects to continue its development efforts with respect to its product candidates. Ocugen has based this estimate on assumptions that may prove to be wrong, and Ocugen could utilize its available capital resources sooner than it expects. Ocugen expects that it will need to raise additional capital in the future to complete the clinical development of its product candidates. Additional funds may not be available on a timely basis, on favorable terms, or at all, and such funds, if raised, may not be sufficient to enable Ocugen to continue to implement its long-term business strategy. If Ocugen cannot expand its operations or otherwise capitalize on its business opportunities because it lacks sufficient capital, Ocugen’s business, financial condition and results of operations could be materially adversely affected, and it may need to delay or curtail its operations until such funding is received.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Ocugen did not have off-balance sheet arrangements during the periods presented, and it does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recently adopted accounting pronouncements, see Note 3 to our condensed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5, 2012, the Jumpstart Our Business Startups Act (“JOBS Act”) was enacted. Section 107 of the JOBS Act permits an “emerging growth company” or a “smaller reporting company” to delay the adoption of new or revised accounting standards until those standards would otherwise apply to private companies. We plan to avail ourselves of this exemption from new or revised accounting standards and, therefore, we may not be subject to the same new or revised accounting standards as other public companies that are not emerging growth companies.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so long as we are an “emerging growth company” or “smaller reporting company,” we intend to rely on exemptions relating to: (1) providing an auditor’s attestation report on our system of internal control over financial reporting pursuant to Section 404(b) of the Sarbanes-Oxley Act and (2)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emerging growth company until December 31, 2019.</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September 30, 2019. Based upon that evaluation, our principal executive officer and principal financial officer concluded that, as of the end of the period covered by this report, our disclosure controls and procedures are effective in ensuring that (a) the information required to be disclosed by us in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its business. We do not believe that we are currently party to any pending legal actions that could reasonably be expected to have a material adverse effect on our business, financial condition, results of operations or cash flows.</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Ocugen’s Financial Position and Capital Requirements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has incurred significant losses from operations and negative cash flows from operations since its inception. Ocugen expects to incur losses over the next several years and may never achieve or maintain profitability.</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Since inception, Ocugen has incurred significant net losses and expects to continue to incur net losses for the foreseeable future. Ocugen has not generated any revenue to date and has funded its operations to date through the sale of common stock, warrants to purchase common stock, the issuance of convertible notes, and borrowings under credit facilities. Ocugen incurred net losses of approximately $32.6 million for the nine months ended September 30, 2019, $18.2 million for the year ended December 31, 2018, and $7.8 million for the year ended December 31, 2017. As of September 30, 2019, Ocugen had an accumulated deficit of $63.9 million and a cash, cash equivalents and restricted cash balance of $15.5 million.</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Ocugen has devoted substantially all of its financial resources and efforts to research and development, including preclinical studies and clinical trials. Ocugen expects that over the next several years it will continue to incur losses from operations as it increases its expenditures in research and development in connection with clinical trials and other development activities. Ocugen’s net losses may fluctuate significantly from quarter to quarter and year to year.</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 anticipates that its expenses will increase substantially as compared to prior periods as it completes its Phase 3 trial with respect to OCU300, prepares to commence Phase 1 trials with respect to OCU400 and OCU200, and otherwise develops and prepares for commercialization of its product candidates, as a result of increased headcount, including management personnel to support its clinical, manufacturing and commercialization activities, expanded infrastructure, increased legal, compliance, accounting and investor and public relations expenses associated with being a public company, and increased insurance premiums, among other factors. Ocugen may seek to obtain additional financing in the future through the issuance of common stock, through other equity or debt financings or through collaborations or partnerships with other companies. Ocugen may not be able to raise additional capital on terms acceptable to it, or at all, and any failure to raise capital as and when needed could compromise its ability to execute on its business plan and cause it to delay or curtail operations until such funding is received.</w:t>
      </w:r>
    </w:p>
    <w:p>
      <w:pPr>
        <w:spacing w:after="0" w:line="18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Ocugen’s license agreements with the University of Colorado, the University of Illinois at Chicago and The Schepens Eye Research Institute impose, among other obligations, royalty, milestone payment, and other financial obligations on it, and Ocugen may enter into additional licensing and funding arrangements with third parties that may impose additional royalty, milestone payment, insurance and other obligations on it.</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Ocugen is unable to estimate with any certainty the costs it will incur and the timelines it will require in its continued development efforts. Additionally, its expenses will also increase if, and, as it:</w:t>
      </w:r>
    </w:p>
    <w:p>
      <w:pPr>
        <w:spacing w:after="0" w:line="162" w:lineRule="exact"/>
        <w:rPr>
          <w:sz w:val="20"/>
          <w:szCs w:val="20"/>
          <w:color w:val="auto"/>
        </w:rPr>
      </w:pPr>
    </w:p>
    <w:p>
      <w:pPr>
        <w:ind w:left="1000" w:right="760" w:hanging="331"/>
        <w:spacing w:after="0" w:line="282" w:lineRule="auto"/>
        <w:tabs>
          <w:tab w:leader="none" w:pos="9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pursues the clinical development of OCU300, through Phase 3 clinical development, and otherwise pursues the preclinical and clinical development of its product candidates;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preclinical studies and clinical trials for any additional product candidates that it may pursue in the future;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marketing approvals for product candidates that successfully complete clinical development;</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capabilities for its product candidates for which it obtains marketing approval;</w:t>
      </w:r>
    </w:p>
    <w:p>
      <w:pPr>
        <w:spacing w:after="0" w:line="225" w:lineRule="exact"/>
        <w:rPr>
          <w:rFonts w:ascii="Times New Roman" w:cs="Times New Roman" w:eastAsia="Times New Roman" w:hAnsi="Times New Roman"/>
          <w:sz w:val="18"/>
          <w:szCs w:val="18"/>
          <w:color w:val="auto"/>
        </w:rPr>
      </w:pPr>
    </w:p>
    <w:p>
      <w:pPr>
        <w:ind w:left="1000" w:right="120" w:hanging="331"/>
        <w:spacing w:after="0" w:line="282" w:lineRule="auto"/>
        <w:tabs>
          <w:tab w:leader="none" w:pos="9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scales up its manufacturing processes and capabilities to support its clinical trials of its product candidates and commercialization of any of its product candidates for which it obtains marketing approval;</w:t>
      </w:r>
    </w:p>
    <w:p>
      <w:pPr>
        <w:spacing w:after="0" w:line="161" w:lineRule="exact"/>
        <w:rPr>
          <w:rFonts w:ascii="Times New Roman" w:cs="Times New Roman" w:eastAsia="Times New Roman" w:hAnsi="Times New Roman"/>
          <w:sz w:val="18"/>
          <w:szCs w:val="18"/>
          <w:color w:val="auto"/>
        </w:rPr>
      </w:pPr>
    </w:p>
    <w:p>
      <w:pPr>
        <w:ind w:left="1000" w:right="260" w:hanging="331"/>
        <w:spacing w:after="0" w:line="282" w:lineRule="auto"/>
        <w:tabs>
          <w:tab w:leader="none" w:pos="9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operational, financial and management systems and increases personnel, including personnel to support its clinical development, manufacturing and commercialization efforts and its operations as a public company;</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scientific and management personnel;</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leverages its proprietary OcuNanoE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to advance high-value therapeutics into preclinical and clinical development;</w:t>
      </w:r>
    </w:p>
    <w:p>
      <w:pPr>
        <w:spacing w:after="0" w:line="167"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in-licenses or acquires the rights to other products, product candidates or technologies;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maintains, expands and protects its intellectual property portfolio; and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its product liability insurance coverage as it expands its commercialization efforts.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Ocugen is unable to predict the timing or amount of increased expenses or when, or if, it will be able to achieve profitability. Ocugen’s expenses will increase if:</w:t>
      </w:r>
    </w:p>
    <w:p>
      <w:pPr>
        <w:spacing w:after="0" w:line="162" w:lineRule="exact"/>
        <w:rPr>
          <w:sz w:val="20"/>
          <w:szCs w:val="20"/>
          <w:color w:val="auto"/>
        </w:rPr>
      </w:pPr>
    </w:p>
    <w:p>
      <w:pPr>
        <w:ind w:left="1000" w:right="80" w:hanging="331"/>
        <w:spacing w:after="0" w:line="282" w:lineRule="auto"/>
        <w:tabs>
          <w:tab w:leader="none" w:pos="9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required by the FDA, European Medicines Agency (“EMA”) or other foreign regulatory agencies to perform trials or studies in addition to those currently expected;</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enrollment of patients in or completing its clinical trials or the development of its product candidates; or</w:t>
      </w:r>
    </w:p>
    <w:p>
      <w:pPr>
        <w:spacing w:after="0" w:line="225"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Ocugen’s intellectual property portfolio, or the need arises to defend against intellectual property-related claims.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Ocugen’s ability to become and remain profitable depends on its ability to generate revenue. Ocugen does not expect to generate revenue that is sufficient to achieve profitability unless and until it obtains marketing approval for and commercializes one of its product candidates. Ocugen does not expect to commercialize any of its product candidates before 2021, if ever. This will require it to be successful in a range of challenging activities, including:</w:t>
      </w:r>
    </w:p>
    <w:p>
      <w:pPr>
        <w:spacing w:after="0" w:line="176" w:lineRule="exact"/>
        <w:rPr>
          <w:sz w:val="20"/>
          <w:szCs w:val="20"/>
          <w:color w:val="auto"/>
        </w:rPr>
      </w:pPr>
    </w:p>
    <w:p>
      <w:pPr>
        <w:ind w:left="1000" w:hanging="331"/>
        <w:spacing w:after="0" w:line="282" w:lineRule="auto"/>
        <w:tabs>
          <w:tab w:leader="none" w:pos="9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obtaining favorable results from its ongoing Phase 3 clinical trial of OCU300 for the treatment of ocular redness and discomfort in patients with oGVHD;</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 for OCU300 or any other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discovering additional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at commercial scale, marketing, selling and distributing those products for which it obtains marketing approval;</w:t>
      </w:r>
    </w:p>
    <w:p>
      <w:pPr>
        <w:spacing w:after="0" w:line="225" w:lineRule="exact"/>
        <w:rPr>
          <w:rFonts w:ascii="Times New Roman" w:cs="Times New Roman" w:eastAsia="Times New Roman" w:hAnsi="Times New Roman"/>
          <w:sz w:val="18"/>
          <w:szCs w:val="18"/>
          <w:color w:val="auto"/>
        </w:rPr>
      </w:pPr>
    </w:p>
    <w:p>
      <w:pPr>
        <w:ind w:left="1000" w:right="340" w:hanging="331"/>
        <w:spacing w:after="0" w:line="282" w:lineRule="auto"/>
        <w:tabs>
          <w:tab w:leader="none" w:pos="9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 adequate level of market acceptance of and obtaining and maintaining coverage and adequate reimbursement from third-party payors for its products; and</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its intellectual property rights.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Ocugen is only in the preliminary stages of many of these activities, and it may never succeed in these activities or generate revenue that is sufficient to achieve profitability. Even if Ocugen does achieve profitability, it may not be able to sustain or increase profitability on a quarterly or annual basis. If it fails to become profitable or is unable to sustain profitability on a continuing basis, then it may be unable to continue its operations at planned levels and be forced to reduce or terminate its operations. Ocugen’s failure to become profitable or inability to remain profitable would decrease the value of the company and could impair its ability to raise capital, expand its business, maintain its research and development efforts, continue or undertake commercialization efforts, diversify its product offerings or even continue its operations. A decline in the value of the company could also cause you to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recurring operating losses have raised substantial doubt regarding its ability to continue as a going concern.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Ocugen’s recurring operating losses raise substantial doubt about its ability to continue as a going concern. For the year ended December 31, 2018, Ocugen had a net loss of $18.2 million and net cash used in operating activities of $11.6 million. Ocugen has no current source of revenue to sustain its present activities, and it does not expect to generate revenue until and unless it receives regulatory approval of and successfully commercialize its product candidates. As a result, Ocugen concluded that there is substantial doubt about its ability to continue as a going concern, and its independent registered public accounting firm included an explanatory paragraph with regard to its ability to continue as a going concern in its report on Ocugen’s financial statements as of and for the year ended December 31, 2018, which were included in the Company’s Registration Statement on Form S-4/A filed with the SEC on August 2, 2019. The perception of Ocugen’s ability to continue as a going concern may make it more difficult for it to obtain financing for the continuation of its operations and could result in the loss of confidence by investors, suppliers and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limited operating history may make it difficult for you to evaluate the success of its business to date and to assess its future viability.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Ocugen has a limited operating history, and its operations to date have been limited to organizing and staffing the company, acquiring rights to intellectual property, business planning, raising capital and developing OCU300 and other product candidates. Consequently, any predictions you make about Ocugen’s future success or viability may not be as accurate as they could be if it had a longer operating history.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as a new business, Ocugen may encounter unforeseen expenses, difficulties, complications, delays and other known and unknown factors. Ocugen will need to transition from a company with a research and development focus to a company capable of supporting commercial activities. It may not be successful in such a transition.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Ocugen expects its financial condition and operating results to fluctuate significantly from quarter-to-quarter and year-to-year due to a variety of factors, many of which are beyond its control. Accordingly, you should not rely upon the results of any quarterly or annual periods as indications of future operating performance.</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will need substantial additional funding. If Ocugen is unable to raise capital when needed, it could be forced to delay, reduce or eliminate its product development programs or commercialization efforts.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Ocugen expects to devote substantial financial resources to its ongoing and planned activities, particularly as it conducts multiple clinical trials and, assuming positive results from these trials, seeks marketing approval for OCU300 and continues the development of and potentially seeks marketing approval for other clinical and preclinical product candidates, including OCU400, OCU410, OCU200 and OCU100. Ocugen expects its expenses to increase substantially in connection with its ongoing activities, particularly as it advances its preclinical activities and clinical trials. In addition, its expenses will further increase if it suffers any delay in its ongoing Phase 3 clinical program for OCU300, or commencement of its Phase 1/2 clinical programs for OCU400 and OCU200, including delays in enrollment of patients. Ocugen also expects to devote additional financial resources to conducting research and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8"/>
          <w:szCs w:val="18"/>
          <w:color w:val="auto"/>
        </w:rPr>
        <w:t>development, initiating clinical trials of, and potentially seeking regulatory approval for, other potential product candidates, including product candidates that it may develop from its OcuNanoE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Ocugen obtains marketing approval for OCU300, or any other product candidate that it develops, it expects to incur significant commercialization expenses related to product sales, marketing, distribution and manufacturing. Furthermore, Ocugen expects to incur additional costs associated with operating as a public company, hiring additional personnel and expanding its facilities. Accordingly, Ocugen may need to obtain substantial additional funding in connection with its continuing operations. If it is unable to raise capital when needed or on attractive terms, it could be forced to delay, reduce or eliminate its research and development programs or any future commercialization efforts.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Ocugen’s future capital requirements will depend on many factors, including:</w:t>
      </w:r>
    </w:p>
    <w:p>
      <w:pPr>
        <w:spacing w:after="0" w:line="225" w:lineRule="exact"/>
        <w:rPr>
          <w:sz w:val="20"/>
          <w:szCs w:val="20"/>
          <w:color w:val="auto"/>
        </w:rPr>
      </w:pPr>
    </w:p>
    <w:p>
      <w:pPr>
        <w:ind w:left="1000" w:right="140" w:hanging="331"/>
        <w:spacing w:after="0" w:line="282" w:lineRule="auto"/>
        <w:tabs>
          <w:tab w:leader="none" w:pos="9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its Phase 3 clinical trials for OCU300, any clinical trials for its preclinical product candidates, and any clinical activities for regulatory review of OCU300 or its other product candidates outside of the United States;</w:t>
      </w:r>
    </w:p>
    <w:p>
      <w:pPr>
        <w:spacing w:after="0" w:line="161" w:lineRule="exact"/>
        <w:rPr>
          <w:rFonts w:ascii="Times New Roman" w:cs="Times New Roman" w:eastAsia="Times New Roman" w:hAnsi="Times New Roman"/>
          <w:sz w:val="18"/>
          <w:szCs w:val="18"/>
          <w:color w:val="auto"/>
        </w:rPr>
      </w:pPr>
    </w:p>
    <w:p>
      <w:pPr>
        <w:ind w:left="1000" w:right="760" w:hanging="331"/>
        <w:spacing w:after="0" w:line="282" w:lineRule="auto"/>
        <w:tabs>
          <w:tab w:leader="none" w:pos="9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OCU300 and its preclinical product candidates;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OCU300 and its preclinical product candidates;</w:t>
      </w:r>
    </w:p>
    <w:p>
      <w:pPr>
        <w:spacing w:after="0" w:line="225" w:lineRule="exact"/>
        <w:rPr>
          <w:rFonts w:ascii="Times New Roman" w:cs="Times New Roman" w:eastAsia="Times New Roman" w:hAnsi="Times New Roman"/>
          <w:sz w:val="18"/>
          <w:szCs w:val="18"/>
          <w:color w:val="auto"/>
        </w:rPr>
      </w:pPr>
    </w:p>
    <w:p>
      <w:pPr>
        <w:ind w:left="1000" w:right="560" w:hanging="331"/>
        <w:spacing w:after="0" w:line="313" w:lineRule="auto"/>
        <w:tabs>
          <w:tab w:leader="none" w:pos="95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commercialization activities for OCU300 or its preclinical product candidates if it receives, or expects to receive, marketing approval, including the costs and timing of establishing product sales, marketing, distribution and outsourced manufacturing capabilities;</w:t>
      </w:r>
    </w:p>
    <w:p>
      <w:pPr>
        <w:spacing w:after="0" w:line="138" w:lineRule="exact"/>
        <w:rPr>
          <w:rFonts w:ascii="Times New Roman" w:cs="Times New Roman" w:eastAsia="Times New Roman" w:hAnsi="Times New Roman"/>
          <w:sz w:val="17"/>
          <w:szCs w:val="17"/>
          <w:color w:val="auto"/>
        </w:rPr>
      </w:pPr>
    </w:p>
    <w:p>
      <w:pPr>
        <w:ind w:left="960" w:hanging="29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received from commercial sales of OCU300 or its preclinical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strategic collaborations, licensing or other agreements and the financial terms of such agreements;</w:t>
      </w:r>
    </w:p>
    <w:p>
      <w:pPr>
        <w:spacing w:after="0" w:line="225" w:lineRule="exact"/>
        <w:rPr>
          <w:rFonts w:ascii="Times New Roman" w:cs="Times New Roman" w:eastAsia="Times New Roman" w:hAnsi="Times New Roman"/>
          <w:sz w:val="18"/>
          <w:szCs w:val="18"/>
          <w:color w:val="auto"/>
        </w:rPr>
      </w:pPr>
    </w:p>
    <w:p>
      <w:pPr>
        <w:ind w:left="1000" w:right="80" w:hanging="331"/>
        <w:spacing w:after="0" w:line="229" w:lineRule="auto"/>
        <w:tabs>
          <w:tab w:leader="none" w:pos="9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any product candidates that it may derive from its OcuNanoE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or any other product candidates that it may develop;</w:t>
      </w:r>
    </w:p>
    <w:p>
      <w:pPr>
        <w:spacing w:after="0" w:line="198"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in-licenses or acquires rights to other products, product candidates or technologies; and</w:t>
      </w:r>
    </w:p>
    <w:p>
      <w:pPr>
        <w:spacing w:after="0" w:line="225" w:lineRule="exact"/>
        <w:rPr>
          <w:rFonts w:ascii="Times New Roman" w:cs="Times New Roman" w:eastAsia="Times New Roman" w:hAnsi="Times New Roman"/>
          <w:sz w:val="18"/>
          <w:szCs w:val="18"/>
          <w:color w:val="auto"/>
        </w:rPr>
      </w:pPr>
    </w:p>
    <w:p>
      <w:pPr>
        <w:ind w:left="1000" w:right="520" w:hanging="331"/>
        <w:spacing w:after="0" w:line="282" w:lineRule="auto"/>
        <w:tabs>
          <w:tab w:leader="none" w:pos="9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protecting its intellectual property rights and defending against any intellectual property-related claims.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2019, Ocugen had cash, cash equivalents and restricted cash of approximately $15.5 million. Ocugen believes that its cash and cash equivalents will enable it to fund its operating expenses and capital expenditure requirements through mid-2020. However, Ocugen has based this estimate on assumptions that may prove to be wrong, and its operating plan may change as a result of many factors currently unknown to it. As a result, it could deplete its capital resources sooner than it currently expects and may need additional funding sooner than it estimates.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Conducting preclinical testing and clinical trials is a time-consuming, expensive and uncertain process that takes years to complete. Ocugen may never generate the necessary data or results required to obtain regulatory approval of products with the market potential sufficient to enable it to achieve profitability. Ocugen does not expect to generate revenue from sales of any product candidates until at least 2021, if at all. Accordingly, it will need to obtain substantial additional financing to achieve its business objectives. In addition, it may seek additional capital due to favorable market conditions or strategic considerations, even if it believes it has sufficient funds for its current or future operating plans. Adequate additional financing may not be available to it on acceptable terms, or at all. If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adequate funds are not available to it on a timely basis, it may be required to delay, limit, reduce or terminate preclinical studies, clinical trials or other development activities for one or more of its product candidates or delay, limit, reduce or terminate its establishment of sales and marketing capabilities or other activities that may be necessary to commercialize its product candidates.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stockholders, restrict Ocugen’s operations or require it to relinquish rights to its technologies or product candidates.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Until such time, if ever, as Ocugen can generate substantial product revenues, it expects to finance its cash needs through a combination of equity offerings, debt financings, collaborations, strategic alliances, licensing arrangements and marketing and distribution arrangements. To the extent that Ocugen raises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its ability to take specific actions, such as incurring additional debt, making capital expenditures or declaring dividends.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Ocugen raises additional funds through collaborations, strategic alliances, licensing arrangements or marketing and distribution arrangements, it may have to relinquish valuable rights to its technologies, future revenue streams, research programs or product candidates, or grant licenses on terms that may not be favorable to it. If Ocugen is unable to raise additional funds through equity or debt financings when needed, it may be required to delay, limit, reduce or terminate its product development or future commercialization efforts or grant rights to develop and market products or product candidates that it would otherwise prefer to develop and market on its own.</w:t>
      </w:r>
    </w:p>
    <w:p>
      <w:pPr>
        <w:spacing w:after="0" w:line="1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Ocugen is unable to use carryforward tax losses or benefit from favorable tax legislation to reduce its taxes, its business, results of operations and financial condition may be adversely affected.</w:t>
      </w:r>
    </w:p>
    <w:p>
      <w:pPr>
        <w:spacing w:after="0" w:line="15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Ocugen has incurred significant net operating losses since its inception. As of December 31, 2018, Ocugen had federal net operating loss carryforwards of approximately $23.7 million. State net operating losses are not materially different from federal net operating losses. If it is unable to use carryforward tax losses to reduce its future taxable income and liabilities in its business, results of operations and financial condition may be adversely affected.</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which will occur if there is a cumulative change in ownership by “5-percent shareholders” that exceeds 50 percentage points over a rolling three-year period, the corporation’s ability to use its pre-change net operating loss carryforwards and other pre-change tax attributes to offset its post-change income may be limited. A corporation that experiences an ownership change will generally be subject to an annual limitation on the use of its pre-ownership change net operating losses equal to the value of the corporation immediately before the ownership change, multiplied by the long-term tax-exempt rate (subject to certain adjustments). The annual limitation for a taxable year generally is increased by the amount of any “recognized built-in gains” for such year and the amount of any unused annual limitation in a prior year. This could limit the amount of tax attributes that can be utilized annually to offset future taxable income or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U.S. tax legislation may materially adversely affect Ocugen’s financial condition, results of operations and cash flows.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Recently-enacted U.S. tax legislation has significantly changed the U.S. federal income taxation of U.S. corporations, including by reducing the U.S. corporate income tax rate, limiting interest deductions, modifying or repealing many business deductions and credits (including reducing the business tax credit for certain clinical testing expenses incurred in the testing of certain drugs for rare diseases or conditions generally referred to as “orphan drugs”),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Treasury and Internal Revenue Service (the “IRS”), any of which could lessen or increase certain adverse impacts of the legislation. In addition, it is unclear how these U.S.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federal income tax changes will affect state and local taxation, which often uses federal taxable income as a starting point for computing state and local tax liabilities.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While some of the changes made by the tax legislation may adversely affect Ocugen in one or more reporting periods and prospectively, other changes may be beneficial on a going forward basis. Ocugen continues to work with its tax advisors and auditors to determine the full impact that the recent tax legislation as a whole will have on it. Ocugen urges its investors to consult with their legal and tax advisors with respect to such legislation.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existing and future indebtedness may limit cash flow available to invest in the ongoing needs of its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2019, Ocugen had $1.0 million of outstanding principal borrowings under the EB-5 Loan Agreement, which it is required to repay on the seventh anniversary of the date of the last disbursement under the EB-5 Loan Agreement (unless terminated earlier pursuant to the terms of the EB-5 Loan Agreement). Ocugen is also eligible to borrow an additional $9.0 million under the EB-5 Loan Agreement, limited by the amount of funds raised by the Lender and subject to availability under the program and certain job creation requirements by it. Ocugen’s obligations under this agreement are secured by substantially all of its assets other than its intellectual property. Ocugen could in the future incur additional indebtedness beyond its borrowings under the EB-5 Loan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Ocugen’s debt combined with its other financial obligations and contractual commitments could have significant adverse consequences, including:</w:t>
      </w:r>
    </w:p>
    <w:p>
      <w:pPr>
        <w:spacing w:after="0" w:line="225" w:lineRule="exact"/>
        <w:rPr>
          <w:sz w:val="20"/>
          <w:szCs w:val="20"/>
          <w:color w:val="auto"/>
        </w:rPr>
      </w:pPr>
    </w:p>
    <w:p>
      <w:pPr>
        <w:ind w:left="1000" w:right="20" w:hanging="331"/>
        <w:spacing w:after="0" w:line="266" w:lineRule="auto"/>
        <w:tabs>
          <w:tab w:leader="none" w:pos="9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it to dedicate a substantial portion of cash flow from operations or cash on hand to the payment of interest on, and principal of, its debt, which will reduce the amounts available to fund working capital, capital expenditures, product development efforts and other general corporate purposes;</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adverse changes in general economic, industry and market conditions;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it to restrictive covenants that may reduce its ability to take certain corporate actions or obtain further debt or equity financing;</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flexibility in planning for, or reacting to, changes in its business and its industry; and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at a competitive disadvantage compared to its competitors that have less debt or better debt servicing options.</w:t>
      </w:r>
    </w:p>
    <w:p>
      <w:pPr>
        <w:spacing w:after="0" w:line="22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Ocugen intends to satisfy its current and future debt service obligations with its existing cash and funds from external sources. Nonetheless, it may not have sufficient funds or may be unable to arrange for additional financing to pay the amounts due under its existing debt. Funds from external sources may not be available on acceptable terms, if at all. In addition, a failure to comply with the covenants under the EB-5 Loan Agreement could result in an event of default and acceleration of amounts due. If an event of default occurs and the Lender accelerates the amounts due under the EB-5 Loan Agreement, Ocugen may not be able to make accelerated payments, and the Lender could seek to enforce security interests in the collateral securing such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Ocugen’s Business and the Development of its Product Candidates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is substantially dependent on the success of its product candidates and cannot guarantee that these product candidates will successfully complete development, receive regulatory approval, or be successfully commercialized.</w:t>
      </w:r>
    </w:p>
    <w:p>
      <w:pPr>
        <w:spacing w:after="0" w:line="15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Ocugen currently has no products approved for commercial distribution. Ocugen has invested a significant portion of its efforts and financial resources in the development of its product candidates. Ocugen’s business depends entirely on the successful development and commercialization of its product candidates, which may never occur. Ocugen’s ability to generate revenues in the near term is substantially dependent on its ability to develop, obtain regulatory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approval for, and then successfully commercialize its product candidates. Ocugen currently generates no revenues from sales of any products, and it may never be able to develop or commercialize a marketable product.</w:t>
      </w:r>
    </w:p>
    <w:p>
      <w:pPr>
        <w:spacing w:after="0" w:line="16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Ocugen currently has limited experience with its product candidates. For OCU300, it has not conducted any clinical studies specifically with its proprietary nanoemulsion technology in patients with oGVHD. The formulation used in previous clinical studies conducted in patients with oGVHD is different from Ocugen’s proposed OCU300 nanoemulsion. The different formulation may impact the final Phase 3 clinical study results for OCU300. Ocugen has evaluated results from an investigator-led retrospective analyses of the use of brimonidine tartrate 0.15% eye drops in patients with oGVHD and an investigator-led prospective Phase 1/2 clinical trial assessing the use of 0.15% and 0.075% brimonidine tartrate eye drops in patients with oGVHD. The formulations used in these studies are different than its proposed OCU300 formulation. These studies and results are not sufficient to establish the safety and efficacy of OCU300 and the results from these studies should be viewed with caution. The results from these studies may not be predictive of adequate and well-controlled prospective studies. Additionally, these clinical studies were not powered for statistical significance due to their small sample size and the Phase 1/2 clinical study was discontinued early due to slow enrollment. These studies may not be predictive of the results of later studies conducted with the OCU300 formulation for which Ocugen intends to seek marketing approval. Moreover, although a dose ranging study was recommended but not required by FDA, Ocugen does not intend to conduct such a study and has proceeded directly into Phase 3 clinical trials. Ocugen’s Phase 3 clinical program for OCU300 consists of two clinical trials evaluating OCU300, the first of which is expected to include approximately 60 patients with oGVHD. Ocugen initiated the first Phase 3 trial of OCU300 in June 2018 and the first patient was dosed in December 2018. The timing of the completion of the Phase 3 clinical trials for OCU300 is dependent, in part, on its ability to locate and enroll a sufficient number of eligible patients on a timely basis, as well as a sample size re-estimation based on data from the first 50% of enrolled patients. Ocugen may need to conduct additional studies before it can submit a marketing application for approval of OCU300.</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Ocugen’s product candidates will require additional clinical and non-clinical development, regulatory approval, commercial manufacturing arrangements, establishment of a commercial organization, significant marketing efforts, and further investment before it generates any revenues from product sales. Ocugen cannot assure you that it will meet its timelines for its clinical trials, which may be delayed or not completed for a number of reasons.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Ocugen is not permitted to market or promote any of its product candidates before it receives regulatory approval from the FDA or comparable foreign regulatory authorities, and it may never receive such regulatory approval for any of its product candidates. Even if its product candidates are approved, they may be subject to limitations on the indicated uses and populations for which they may be marketed. They may also be subject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(“REMS”) to monitor the safety or efficacy of the products. If Ocugen does not receive FDA approval for, and successfully commercialize its product candidates, it will not be able to generate revenue from these product candidates in the United States in the foreseeable future, or at all. Any significant delays in obtaining approval for and commercializing its product candidates will have a material adverse impact on its business and financial condition.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Ocugen has not previously submitted a marketing application to the FDA, or similar marketing application to comparable foreign authorities, for any product candidate, and it cannot be certain that its product candidates will be successful in clinical trials or receive regulatory approval.</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Its product candidates are susceptible to the risks of failure inherent at any stage of product development, including the appearance of unexpected or unacceptable adverse events or failure to demonstrate efficacy in clinical trials. Further, its product candidates may not receive regulatory approval even if they are successful in clinical trials.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success of Ocugen’s product candidates and its ability to generate revenues from its product candidates will depend on many factors including its ability to:</w:t>
      </w:r>
    </w:p>
    <w:p>
      <w:pPr>
        <w:spacing w:after="0" w:line="162" w:lineRule="exact"/>
        <w:rPr>
          <w:sz w:val="20"/>
          <w:szCs w:val="20"/>
          <w:color w:val="auto"/>
        </w:rPr>
      </w:pPr>
    </w:p>
    <w:p>
      <w:pPr>
        <w:ind w:left="5620" w:right="2280" w:hanging="4951"/>
        <w:spacing w:after="0" w:line="532" w:lineRule="auto"/>
        <w:tabs>
          <w:tab w:leader="none" w:pos="9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obtain favorable results from its clinical and preclinical trials with respect to its product candidates;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and receive marketing approval from the applicable regulatory authorities;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approval for its manufacturing processes and third-party manufacturing facilities from the applicable regulatory authorities;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enroll qualified patients for clinical trials with respect to its product candidates in a timely manner;</w:t>
      </w:r>
    </w:p>
    <w:p>
      <w:pPr>
        <w:spacing w:after="0" w:line="225" w:lineRule="exact"/>
        <w:rPr>
          <w:rFonts w:ascii="Times New Roman" w:cs="Times New Roman" w:eastAsia="Times New Roman" w:hAnsi="Times New Roman"/>
          <w:sz w:val="18"/>
          <w:szCs w:val="18"/>
          <w:color w:val="auto"/>
        </w:rPr>
      </w:pPr>
    </w:p>
    <w:p>
      <w:pPr>
        <w:ind w:left="1000" w:right="460" w:hanging="331"/>
        <w:spacing w:after="0" w:line="282" w:lineRule="auto"/>
        <w:tabs>
          <w:tab w:leader="none" w:pos="9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maintain a workforce of experienced scientists and others with experience in the relevant technology to continue to develop its product candidates;</w:t>
      </w:r>
    </w:p>
    <w:p>
      <w:pPr>
        <w:spacing w:after="0" w:line="161"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create market demand for its product candidates through marketing and sales activities, and any other arrangements to promote these product candidates that it may otherwise establish;</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1000" w:hanging="331"/>
        <w:spacing w:after="0" w:line="282" w:lineRule="auto"/>
        <w:tabs>
          <w:tab w:leader="none" w:pos="9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marketing and sales representatives or contract with a third-party for marketing and sales representatives to commercialize product candidates in the United States;</w:t>
      </w:r>
    </w:p>
    <w:p>
      <w:pPr>
        <w:spacing w:after="0" w:line="161" w:lineRule="exact"/>
        <w:rPr>
          <w:rFonts w:ascii="Times New Roman" w:cs="Times New Roman" w:eastAsia="Times New Roman" w:hAnsi="Times New Roman"/>
          <w:sz w:val="18"/>
          <w:szCs w:val="18"/>
          <w:color w:val="auto"/>
        </w:rPr>
      </w:pPr>
    </w:p>
    <w:p>
      <w:pPr>
        <w:ind w:left="1000" w:right="140" w:hanging="331"/>
        <w:spacing w:after="0" w:line="282" w:lineRule="auto"/>
        <w:tabs>
          <w:tab w:leader="none" w:pos="9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1000" w:right="100" w:hanging="331"/>
        <w:spacing w:after="0" w:line="282" w:lineRule="auto"/>
        <w:tabs>
          <w:tab w:leader="none" w:pos="9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partnerships with, or offer licenses to, qualified third parties to promote and sell product candidates in domestic and key foreign markets where it receives marketing approval;</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its product candidates;</w:t>
      </w:r>
    </w:p>
    <w:p>
      <w:pPr>
        <w:spacing w:after="0" w:line="225" w:lineRule="exact"/>
        <w:rPr>
          <w:rFonts w:ascii="Times New Roman" w:cs="Times New Roman" w:eastAsia="Times New Roman" w:hAnsi="Times New Roman"/>
          <w:sz w:val="18"/>
          <w:szCs w:val="18"/>
          <w:color w:val="auto"/>
        </w:rPr>
      </w:pPr>
    </w:p>
    <w:p>
      <w:pPr>
        <w:ind w:left="1000" w:right="100" w:hanging="331"/>
        <w:spacing w:after="0" w:line="282" w:lineRule="auto"/>
        <w:tabs>
          <w:tab w:leader="none" w:pos="9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identify, register, maintain, enforce and defend intellectual property rights and claims covering its products and intellectual property portfolio;</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infringe on others’ intellectual property rights;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its product candidates, whether alone or in collaboration with others;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its product candidates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pricing, and payment coverage for its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 establish a market share; and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and efficacy profile of its product candidates following launch.</w:t>
      </w:r>
    </w:p>
    <w:p>
      <w:pPr>
        <w:spacing w:after="0" w:line="225" w:lineRule="exact"/>
        <w:rPr>
          <w:sz w:val="20"/>
          <w:szCs w:val="20"/>
          <w:color w:val="auto"/>
        </w:rPr>
      </w:pPr>
    </w:p>
    <w:p>
      <w:pPr>
        <w:ind w:right="140" w:firstLine="41"/>
        <w:spacing w:after="0" w:line="266" w:lineRule="auto"/>
        <w:rPr>
          <w:sz w:val="20"/>
          <w:szCs w:val="20"/>
          <w:color w:val="auto"/>
        </w:rPr>
      </w:pPr>
      <w:r>
        <w:rPr>
          <w:rFonts w:ascii="Times New Roman" w:cs="Times New Roman" w:eastAsia="Times New Roman" w:hAnsi="Times New Roman"/>
          <w:sz w:val="18"/>
          <w:szCs w:val="18"/>
          <w:color w:val="auto"/>
        </w:rPr>
        <w:t>To the extent Ocugen is not able to do any of the foregoing, its business may be materially harmed. Moreover, successful development of its product candidates for additional indications, if any, or for use in broader patient populations and its ability to broaden the label for any approved product candidates will depend on similar factors.</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If it is required to conduct additional clinical trials or other testing of its product candidates that it develops beyond those that it currently expects, if it is unable to successfully complete clinical trials of its product candidates or other testing, if the results of these trials or tests are not positive or are only modestly positive or if there are safety concerns, Ocugen may: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its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without labeled claims necessary for Ocugen to successfully market its products;</w:t>
      </w:r>
    </w:p>
    <w:p>
      <w:pPr>
        <w:spacing w:after="0" w:line="225" w:lineRule="exact"/>
        <w:rPr>
          <w:rFonts w:ascii="Times New Roman" w:cs="Times New Roman" w:eastAsia="Times New Roman" w:hAnsi="Times New Roman"/>
          <w:sz w:val="18"/>
          <w:szCs w:val="18"/>
          <w:color w:val="auto"/>
        </w:rPr>
      </w:pPr>
    </w:p>
    <w:p>
      <w:pPr>
        <w:ind w:left="1000" w:right="660" w:hanging="331"/>
        <w:spacing w:after="0" w:line="282" w:lineRule="auto"/>
        <w:tabs>
          <w:tab w:leader="none" w:pos="9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 and contraindications;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surveillance requirements, or REMS; or</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any of the foregoing should occur, its business may be materially harmed.</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Ocugen is not able to obtain, or if there are delays in obtaining, required regulatory approvals, it will not be able to commercialize its product candidates as expected, and its ability to generate revenue will be materially impaired.</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may require Ocugen to amend its clinical trial protocols, conduct additional studies that require regulatory or Institutional Review Board (“IRB”) approval, or otherwise cause delays in the approval or rejection of an application. Ocugen has not obtained regulatory approval for any product candidate and it is possible that none of its existing product candidates or any product candidates it may seek to develop in the future, will ever obtain regulatory approval. Moreover, its product candidates will require additional studies, as well as additional manufacturing development before it will be able to submit marketing applications to the applicable regulatory authorities. Any delay in obtaining or failure to obtain required approvals could materially adversely affect its ability to generate revenue from the particular product candidate, which likely would result in significant harm to its financial position and adversely impact its stock price.</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Ocugen’s product candidates and the activities associated with their development and commercialization, including their design, testing, manufacture, safety, efficacy, recordkeeping, labeling, storage, approval, advertising, marketing, promotion, sale, and distribution, are subject to comprehensive regulation by the FDA, other regulatory agencies in the United States and similar regulatory authorities outside the United States. Failure to obtain marketing approval for a product candidate will prevent Ocugen from commercializing the product candidate. Ocugen has no experience in filing and supporting the applications necessary to gain marketing approvals and expect to rely on third parties to assist it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The FDA or other similar regulatory authorities may determine that its product candidates are not effective, only moderately effective or have undesirable or unintended side effects, toxicities or other characteristics that preclude Ocugen from obtaining marketing approval or prevent or limit commercial use.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This is especially true for rare and/or complicated diseases. Failure can occur at any time during the clinical trial process. Ocugen has limited experience in designing clinical trials and may be unable to design and execute a clinical trial to support marketing approval.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preliminary study results, and early clinical trials of Ocugen’s product candidates may not be predictive of the results of later-stage clinical trials or the ultimately completed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Preclinical and early clinical studies may also reveal unfavorable product candidate characteristics, including safety concerns. A number of companies have suffered significant setbacks in advanced clinical trials, notwithstanding promising results in earlier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Ocugen’s future clinical trial results may not be successful. Moreover, should there be a flaw in a clinical trial, it may not become apparent until the clinical trial is well advanced.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Ocugen may also experience numerous unforeseen events during, or as a result of, clinical trials that could delay or prevent its ability to receive marketing approval or commercialize its product candidates, including:</w:t>
      </w:r>
    </w:p>
    <w:p>
      <w:pPr>
        <w:spacing w:after="0" w:line="162" w:lineRule="exact"/>
        <w:rPr>
          <w:sz w:val="20"/>
          <w:szCs w:val="20"/>
          <w:color w:val="auto"/>
        </w:rPr>
      </w:pPr>
    </w:p>
    <w:p>
      <w:pPr>
        <w:ind w:left="1000" w:right="20" w:hanging="331"/>
        <w:spacing w:after="0" w:line="266"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including the FDA and the National Institutes of Health, or IRBs or Institutional Biosafety Committees (“IBCs”) may not authorize Ocugen or its investigators to commence or continue a clinical trial, conduct a clinical trial at a prospective trial site, or amend trial protocols, or regulators, IRBs or IBCs may require that it modify or amend its clinical trial protocols;</w:t>
      </w:r>
    </w:p>
    <w:p>
      <w:pPr>
        <w:spacing w:after="0" w:line="176" w:lineRule="exact"/>
        <w:rPr>
          <w:rFonts w:ascii="Times New Roman" w:cs="Times New Roman" w:eastAsia="Times New Roman" w:hAnsi="Times New Roman"/>
          <w:sz w:val="18"/>
          <w:szCs w:val="18"/>
          <w:color w:val="auto"/>
        </w:rPr>
      </w:pPr>
    </w:p>
    <w:p>
      <w:pPr>
        <w:ind w:left="1000" w:right="560" w:hanging="331"/>
        <w:spacing w:after="0" w:line="282"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 may experience delays in reaching, or fail to reach, agreement on acceptable clinical trial contracts or clinical trial protocols with prospective trial sites and its contract research organizations (“CROs”);</w:t>
      </w:r>
    </w:p>
    <w:p>
      <w:pPr>
        <w:spacing w:after="0" w:line="161" w:lineRule="exact"/>
        <w:rPr>
          <w:rFonts w:ascii="Times New Roman" w:cs="Times New Roman" w:eastAsia="Times New Roman" w:hAnsi="Times New Roman"/>
          <w:sz w:val="18"/>
          <w:szCs w:val="18"/>
          <w:color w:val="auto"/>
        </w:rPr>
      </w:pPr>
    </w:p>
    <w:p>
      <w:pPr>
        <w:ind w:left="1000" w:right="20" w:hanging="331"/>
        <w:spacing w:after="0" w:line="282"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it to perform additional or unanticipated clinical trials to obtain approval or it may be subject to additional post-marketing testing, surveillance, or REMS requirements to maintain regulatory approval;</w:t>
      </w:r>
    </w:p>
    <w:p>
      <w:pPr>
        <w:spacing w:after="0" w:line="161" w:lineRule="exact"/>
        <w:rPr>
          <w:rFonts w:ascii="Times New Roman" w:cs="Times New Roman" w:eastAsia="Times New Roman" w:hAnsi="Times New Roman"/>
          <w:sz w:val="18"/>
          <w:szCs w:val="18"/>
          <w:color w:val="auto"/>
        </w:rPr>
      </w:pPr>
    </w:p>
    <w:p>
      <w:pPr>
        <w:ind w:left="1000" w:right="400" w:hanging="331"/>
        <w:spacing w:after="0" w:line="266"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its product candidates may produce negative or inconclusive results, or its studies may fail to reach the necessary level of statistical significance, and it may decide, or regulators may require it, to conduct additional clinical trials or abandon product development programs;</w:t>
      </w:r>
    </w:p>
    <w:p>
      <w:pPr>
        <w:spacing w:after="0" w:line="176" w:lineRule="exact"/>
        <w:rPr>
          <w:rFonts w:ascii="Times New Roman" w:cs="Times New Roman" w:eastAsia="Times New Roman" w:hAnsi="Times New Roman"/>
          <w:sz w:val="18"/>
          <w:szCs w:val="18"/>
          <w:color w:val="auto"/>
        </w:rPr>
      </w:pPr>
    </w:p>
    <w:p>
      <w:pPr>
        <w:ind w:left="1000" w:right="240" w:hanging="331"/>
        <w:spacing w:after="0" w:line="261"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its product candidates may not produce the necessary result on all study endpoints. Ocugen expects that it will be required to demonstrate effectiveness of both of the co-primary endpoints for marketing approval of OCU300 for the indication of treatment of ocular redness and discomfort in patients with oGVHD. If OCU300 does not achieve statistical significance in both primary endpoints in its Phase 3 clinical trials, the FDA may require it to conduct additional clinical trials to support the approval of its proposed indications;</w:t>
      </w:r>
    </w:p>
    <w:p>
      <w:pPr>
        <w:spacing w:after="0" w:line="180" w:lineRule="exact"/>
        <w:rPr>
          <w:rFonts w:ascii="Times New Roman" w:cs="Times New Roman" w:eastAsia="Times New Roman" w:hAnsi="Times New Roman"/>
          <w:sz w:val="18"/>
          <w:szCs w:val="18"/>
          <w:color w:val="auto"/>
        </w:rPr>
      </w:pPr>
    </w:p>
    <w:p>
      <w:pPr>
        <w:ind w:left="1000" w:hanging="331"/>
        <w:spacing w:after="0" w:line="266"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its product candidates may be larger than it anticipates, enrollment in these clinical trials may be slower than it anticipates, or participants may drop out of these clinical trials or be lost to follow-up at a higher rate than it anticipates. By example, the Phase 1/2 clinical study of brimonidine tartrate in patients with oGVHD was discontinued early due to slow enrollment;</w:t>
      </w:r>
    </w:p>
    <w:p>
      <w:pPr>
        <w:spacing w:after="0" w:line="176" w:lineRule="exact"/>
        <w:rPr>
          <w:rFonts w:ascii="Times New Roman" w:cs="Times New Roman" w:eastAsia="Times New Roman" w:hAnsi="Times New Roman"/>
          <w:sz w:val="18"/>
          <w:szCs w:val="18"/>
          <w:color w:val="auto"/>
        </w:rPr>
      </w:pPr>
    </w:p>
    <w:p>
      <w:pPr>
        <w:ind w:left="1000" w:right="720" w:hanging="331"/>
        <w:spacing w:after="0" w:line="282"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Ocugen’s third-party contractors may fail to comply with regulatory requirements or the clinical trial protocol, or meet their contractual obligations to it in a timely manner, or at all, or it may be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1000" w:right="200" w:hanging="331"/>
        <w:spacing w:after="0" w:line="266" w:lineRule="auto"/>
        <w:tabs>
          <w:tab w:leader="none" w:pos="9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440"/>
        <w:spacing w:after="0" w:line="282" w:lineRule="auto"/>
        <w:rPr>
          <w:sz w:val="20"/>
          <w:szCs w:val="20"/>
          <w:color w:val="auto"/>
        </w:rPr>
      </w:pPr>
      <w:r>
        <w:rPr>
          <w:rFonts w:ascii="Times New Roman" w:cs="Times New Roman" w:eastAsia="Times New Roman" w:hAnsi="Times New Roman"/>
          <w:sz w:val="18"/>
          <w:szCs w:val="18"/>
          <w:color w:val="auto"/>
        </w:rPr>
        <w:t>characteristics (alone or in combination with other products) of the product candidate, or due to findings of undesirable effects caused by a chemically or mechanistically similar therapeutic or therapeutic candidate;</w:t>
      </w:r>
    </w:p>
    <w:p>
      <w:pPr>
        <w:spacing w:after="0" w:line="162" w:lineRule="exact"/>
        <w:rPr>
          <w:sz w:val="20"/>
          <w:szCs w:val="20"/>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its data insufficient to obtain marketing approval;</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submitted product applications;</w:t>
      </w:r>
    </w:p>
    <w:p>
      <w:pPr>
        <w:spacing w:after="0" w:line="225" w:lineRule="exact"/>
        <w:rPr>
          <w:rFonts w:ascii="Times New Roman" w:cs="Times New Roman" w:eastAsia="Times New Roman" w:hAnsi="Times New Roman"/>
          <w:sz w:val="18"/>
          <w:szCs w:val="18"/>
          <w:color w:val="auto"/>
        </w:rPr>
      </w:pPr>
    </w:p>
    <w:p>
      <w:pPr>
        <w:ind w:left="1000" w:right="12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its product candidates may be greater than it anticipates or it may have insufficient funds for a clinical trial or to pay the substantial user fees required by the FDA upon the filing of a marketing application;</w:t>
      </w:r>
    </w:p>
    <w:p>
      <w:pPr>
        <w:spacing w:after="0" w:line="161"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its product candidates or other materials necessary to conduct clinical trials of its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1000" w:right="70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 may decide, or regulators may require it, to conduct or gather, as applicable, additional clinical trials, analyses, reports, data, or preclinical trials, or it may abandon product development programs;</w:t>
      </w:r>
    </w:p>
    <w:p>
      <w:pPr>
        <w:spacing w:after="0" w:line="161" w:lineRule="exact"/>
        <w:rPr>
          <w:rFonts w:ascii="Times New Roman" w:cs="Times New Roman" w:eastAsia="Times New Roman" w:hAnsi="Times New Roman"/>
          <w:sz w:val="18"/>
          <w:szCs w:val="18"/>
          <w:color w:val="auto"/>
        </w:rPr>
      </w:pPr>
    </w:p>
    <w:p>
      <w:pPr>
        <w:ind w:left="1000" w:right="40" w:hanging="331"/>
        <w:spacing w:after="0" w:line="266"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fail to reach an agreement with regulators, IRBs or IBCs regarding the scope, design, or implementation of its clinical trials. For instance, the FDA or comparable foreign regulatory authorities may require changes to its study design that make further study impractical or not financially prudent;</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have delays in adding new investigators or clinical trial sites, or it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1000" w:right="22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its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161" w:lineRule="exact"/>
        <w:rPr>
          <w:rFonts w:ascii="Times New Roman" w:cs="Times New Roman" w:eastAsia="Times New Roman" w:hAnsi="Times New Roman"/>
          <w:sz w:val="18"/>
          <w:szCs w:val="18"/>
          <w:color w:val="auto"/>
        </w:rPr>
      </w:pPr>
    </w:p>
    <w:p>
      <w:pPr>
        <w:ind w:left="1000" w:right="20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its product candidates;</w:t>
      </w:r>
    </w:p>
    <w:p>
      <w:pPr>
        <w:spacing w:after="0" w:line="161" w:lineRule="exact"/>
        <w:rPr>
          <w:rFonts w:ascii="Times New Roman" w:cs="Times New Roman" w:eastAsia="Times New Roman" w:hAnsi="Times New Roman"/>
          <w:sz w:val="18"/>
          <w:szCs w:val="18"/>
          <w:color w:val="auto"/>
        </w:rPr>
      </w:pPr>
    </w:p>
    <w:p>
      <w:pPr>
        <w:ind w:left="1000" w:right="14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its study design, including endpoints, or its interpretation of data from preclinical studies and clinical trials or find that a product candidate’s benefits do not outweigh its safety risks;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its intended indications;</w:t>
      </w:r>
    </w:p>
    <w:p>
      <w:pPr>
        <w:spacing w:after="0" w:line="225" w:lineRule="exact"/>
        <w:rPr>
          <w:rFonts w:ascii="Times New Roman" w:cs="Times New Roman" w:eastAsia="Times New Roman" w:hAnsi="Times New Roman"/>
          <w:sz w:val="18"/>
          <w:szCs w:val="18"/>
          <w:color w:val="auto"/>
        </w:rPr>
      </w:pPr>
    </w:p>
    <w:p>
      <w:pPr>
        <w:ind w:left="1000" w:right="380" w:hanging="331"/>
        <w:spacing w:after="0" w:line="282"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its contract manufacturer’s manufacturing facility for clinical and future commercial supplies;</w:t>
      </w:r>
    </w:p>
    <w:p>
      <w:pPr>
        <w:spacing w:after="0" w:line="161" w:lineRule="exact"/>
        <w:rPr>
          <w:rFonts w:ascii="Times New Roman" w:cs="Times New Roman" w:eastAsia="Times New Roman" w:hAnsi="Times New Roman"/>
          <w:sz w:val="18"/>
          <w:szCs w:val="18"/>
          <w:color w:val="auto"/>
        </w:rPr>
      </w:pPr>
    </w:p>
    <w:p>
      <w:pPr>
        <w:ind w:left="1000" w:hanging="331"/>
        <w:spacing w:after="0" w:line="266" w:lineRule="auto"/>
        <w:tabs>
          <w:tab w:leader="none" w:pos="9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its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it anticipates to make a decision on its product candidates;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0" w:right="140" w:hanging="331"/>
        <w:spacing w:after="0" w:line="282" w:lineRule="auto"/>
        <w:tabs>
          <w:tab w:leader="none" w:pos="9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Ocugen’s product candidate development costs will also increase if it experiences delays in testing or approvals, and it may not have sufficient funding to complete the testing and approval process for any of its product candidates. Ocugen may be required to obtain additional funds to complete clinical trials and prepare for possible commercialization of its product candidates. Ocugen does not know whether any preclinical tests or clinical trials above what it currently has planned will be required, will begin as planned, will need to be restructured, or will be completed on schedule, or at all. Significant delays relating to any preclinical or clinical trials also could shorten any periods during which it may have the exclusive right to commercialize its product candidates or allow its competitors to bring products to market before it does. This may prevent Ocugen from receiving marketing approvals and impair its ability to successfully commercialize its product candidates and may harm its business and results of operations. In addition, many of the factors that cause, or lead to, delays in clinical trials may ultimately lead to the denial of marketing approval of any of its product candidates. If any of this occurs, its business, financial condition, results of operations, and prospects will be materially harmed.</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Ocugen’s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The foregoing may cause delays or limitations in the approval or the decision not to approve an application. It is possible that its product candidates will never obtain the appropriate regulatory approvals necessary for Ocugen to commence product sales.</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Finally, even if Ocugen was to obtain approval, regulatory authorities may approve any of its product candidates for fewer or more limited indications, populations, or uses than it requests, may contain significant safety warnings, including black box warnings, contraindications, and precautions, may grant approval contingent on the performance of costly post-marketing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Ocugen’s product candidates.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Ocugen experiences delays in obtaining approval, if it fails to obtain approval of a product candidate or if the label for a product candidate does not include the labeling claims necessary or desirable for the successful commercialization of that product candidate, the commercial prospects for such product candidate may be harmed and Ocugen’s ability to generate revenues from that product candidate will be materially impaired.</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Ocugen’s product candidates have undesirable side effects that could delay or prevent their regulatory approval or commercialization.</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Ocugen’s product candidates could cause it,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Ocugen’s product candidates as a result of undesirable side effects identified during clinical or preclinical testing, the FDA may order it to cease further development, decline to approve such product candidate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18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or any unexpected characteristics (alone or in combination with other products) for any of Ocugen’s product candidates could also result in denial of regulatory approval by the FDA or other comparable foreign authorities for any or all targeted indications or the inclusion of unfavorable information in Ocugen’s product labeling, such as limitations on the indicated uses or populations for which the products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These could prevent Ocugen from commercializing and generating revenues from the sale of its product candidates.</w:t>
      </w:r>
    </w:p>
    <w:p>
      <w:pPr>
        <w:spacing w:after="0" w:line="18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While there have been a few adverse events that have occurred in the investigator-led clinical studies of brimonidine tartrate for the treatment of ocular redness and discomfort in patients with oGVHD, overall brimonidine tartrate was well-tolerated. Ocugen does not have any studies exploring long term exposure in these patient populations to brimonidine tartrate or its product candidates. Ocugen’s understanding of the relationship between its product candidates and any adverse effects may change as it gathers more information, and unexpected adverse effects may occur.</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Ocugen’s product candidates (including use more frequently than is prescribed) by patients could cause unexpected side effects or adverse events. There can be no assurance that Ocugen’s product candidates will be used correctly, and if used incorrectly, such misuse could prevent its receipt or maintenance of marketing authorization, resulting in label changes or regulatory authority safety communications or warnings, or hamper commercial adoption of its product candidate, if approved, at the rate it currently expects.</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those product candidates that are based on previously approved products, such as OCU300, subjects and patients may also experience adverse events that are included on the label for the FDA approved products.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any of Ocugen’s product candidates is associated with serious adverse events or undesirable side effects or have properties that are unexpected, Ocugen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significantly harm Ocugen’s business, financial condition, results of operations, and prospects.</w:t>
      </w:r>
    </w:p>
    <w:p>
      <w:pPr>
        <w:spacing w:after="0" w:line="1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Ocugen experiences delays or difficulties in the enrollment of patients in clinical trials, its completion of clinical trials and receipt of necessary regulatory approvals could be delayed or prevented.</w:t>
      </w:r>
    </w:p>
    <w:p>
      <w:pPr>
        <w:spacing w:after="0" w:line="159"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Ocugen may not be able to initiate or continue conducting clinical trials for its product candidates if it is unable to locate and enroll a sufficient number of eligible patients to participate in these trials as required by the FDA or similar regulatory authorities outside the United States. Competitors may also have ongoing clinical trials for product candidates that are intended to treat the same indications as its product candidates, and patients who would otherwise be eligible for Ocugen’s clinical trials may instead enroll in clinical trials of its competitors’ product candidates. Patient enrollment is affected by other factors including:</w:t>
      </w:r>
    </w:p>
    <w:p>
      <w:pPr>
        <w:spacing w:after="0" w:line="184" w:lineRule="exact"/>
        <w:rPr>
          <w:sz w:val="20"/>
          <w:szCs w:val="20"/>
          <w:color w:val="auto"/>
        </w:rPr>
      </w:pPr>
    </w:p>
    <w:p>
      <w:pPr>
        <w:ind w:left="1000" w:right="120" w:hanging="331"/>
        <w:spacing w:after="0" w:line="282" w:lineRule="auto"/>
        <w:tabs>
          <w:tab w:leader="none" w:pos="9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(for instance, Ocugen is pursuing clinical trials for certain orphan indications, for which the size of the patient population is limited);</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current treatments for the indications for which it is conducting clinical trials;</w:t>
      </w:r>
    </w:p>
    <w:p>
      <w:pPr>
        <w:spacing w:after="0" w:line="225" w:lineRule="exact"/>
        <w:rPr>
          <w:rFonts w:ascii="Times New Roman" w:cs="Times New Roman" w:eastAsia="Times New Roman" w:hAnsi="Times New Roman"/>
          <w:sz w:val="18"/>
          <w:szCs w:val="18"/>
          <w:color w:val="auto"/>
        </w:rPr>
      </w:pPr>
    </w:p>
    <w:p>
      <w:pPr>
        <w:ind w:left="1000" w:right="220" w:hanging="331"/>
        <w:spacing w:after="0" w:line="282" w:lineRule="auto"/>
        <w:tabs>
          <w:tab w:leader="none" w:pos="9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1000" w:right="320" w:hanging="331"/>
        <w:spacing w:after="0" w:line="282" w:lineRule="auto"/>
        <w:tabs>
          <w:tab w:leader="none" w:pos="9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including the potential advantages or disadvantages of the product candidate being studied in relation to other available therapies;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product candidate;</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maintain patient informed consents;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before completion or not return for post-treatment follow-up;</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compensate patients for their time and effort; and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Ocugen’s inability to enroll a sufficient number of patients for its clinical trials would result in significant delays and could require it to abandon one or more clinical trials altogether. In particular, there may be low or slow enrollment, and the studies may enroll subjects that do not meet the inclusion criteria, requiring the erroneously enrolled subjects to be excluded and the trial population to be increased. By example, the Phase 1/2 clinical study examining the use of brimonidine tartrate eye drops in patients with oGVHD was discontinued early due to slow enrollment. Moreover, patients in Ocugen’s clinical trials, especially patients in its control groups, may be at risk for dropping out of its studies if they are not experiencing relief of their disease. A significant number of withdrawn patients would compromise the quality of its data.</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Enrollment delays in Ocugen’s clinical trials may result in increased development costs for its product candidates, or the inability to complete development of its product candidates, which would cause the value of its company to decline, limit its ability to obtain additional financing, and materially impair its ability to generate revenues.</w:t>
      </w:r>
    </w:p>
    <w:p>
      <w:pPr>
        <w:spacing w:after="0" w:line="17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Ocugen’s development and commercialization strategy for OCU300 depends, in part, on published scientific literature and the FDA’s prior findings regarding the safety and efficacy of approved products. If Ocugen is not able to pursue this strategy, it will need to conduct additional development activities beyond what it currently plans, its development costs will increase, and it may be delayed in receiving regulatory authority approval. The submission of 505(b)(2) New Drug Applications may also subject it to the risk of patent infringement lawsuits or regulatory actions that would delay or prevent its submission of a marketing application to the FDA, or the FDA’s review and approval of its marketing applications.</w:t>
      </w:r>
    </w:p>
    <w:p>
      <w:pPr>
        <w:spacing w:after="0" w:line="18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Hatch-Waxman Act added Section 505(b)(2) to the Federal Food, Drug and Cosmetic Act (the “FDCA”). Section 505(b)(2) permits the filing of a New Drug Application (“NDA”), where at least some of the information required for approval comes from investigations that were not conducted by or for the applicant and for which the applicant has not obtained a right of reference or use from the person by or for whom the investigations were conducted. The FDA interprets Section 505(b)(2) of the FDCA, for purposes of approving an NDA, to permit the applicant to rely, in part, upon published literature and/or the FDA’s previous findings of safety and efficacy for an approved product. The FDA also requires companies to perform additional clinical trials or measurements to support any deviation from the previously approved product and to support the reliance on the applicable published literature or referenced product, referred to as bridging. The FDA may then approve the new product candidate for all or some of the label indications for which the referenced product has been approved, as well as for any new indication sought by the Section 505(b)(2) applicant, if such approval is supported by study data. The label, however, may require all or some of the limitations, contraindications, warnings or precautions included in the reference product’s label, including a black box warning, or may require additional limitations, contraindications, warnings or precautions.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Ocugen currently plans to pursue marketing approval for OCU300 in the United States through 505(b)(2) NDAs and will be completing bridging analyses prior to NDA submission. If the FDA disagrees with its conclusions regarding the appropriateness of its reliance on a reference listed drug or published literature or if it is not otherwise able to bridge to the reference listed drug or published literature to demonstrate that its reliance is scientifically appropriate, it could be required to conduct additional clinical trials or other studies to support its NDA, which could lead to unanticipated costs and delays or to the termination of its development program. If Ocugen is unable to obtain approval for its pharmaceutical formulations through the 505(b)(2) NDA process, it may be required to pursue the more expensive and time consuming 505(b)(1) approval process, which consists of full reports of investigations of safety and effectiveness conducted by or for the applicant.</w:t>
      </w:r>
    </w:p>
    <w:p>
      <w:pPr>
        <w:spacing w:after="0" w:line="189"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Ocugen to pursue a 505(b)(2) application. For instance, should the FDA approve a pharmaceutically equivalent product to its product candidates, Ocugen would no longer be able to use the 505(b)(2) regulatory pathway. In that case, it is the FDA’s policy that the appropriate submission would be an Abbreviated New Drug Application, or ANDA, for a generic version of the approved product.</w:t>
      </w:r>
    </w:p>
    <w:p>
      <w:pPr>
        <w:spacing w:after="0" w:line="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Ocugen may, however, not be able to immediately submit an ANDA or have an ANDA approval made effective, as it could be blocked by others’ periods of patent and regulatory exclusivity protection.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Section 505(b)(2),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Ocugen submits pursuant to the 505(b)(2) process. It is also not uncommon for a sponsor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Ocugen cannot seek approval for OCU300 through the 505(b)(2) regulatory pathway, it may need to conduct additional clinical trials, provide additional data and information and meet additional standards for regulatory approval. If this were to occur, the time and financial resources required to obtain FDA approval for OCU300, and the complications and risks associated with approval of OCU300, would likely substantially increase. Even if Ocugen is allowed to pursue the 505(b)(2) regulatory pathway to FDA approval, it cannot assure you that OCU300 will receive the requisite approvals for commercialization. Moreover, Ocugen’s inability to pursue a 505(b)(2) application could result in new competitive products reaching the market more quickly than its product candidates, which could hurt its competitive position and its business prospects.</w:t>
      </w:r>
    </w:p>
    <w:p>
      <w:pPr>
        <w:spacing w:after="0" w:line="18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Ocugen’s use of the 505(b)(2) regulatory pathway may also subject it to the risk of patent infringement lawsuits or other regulatory actions that could prevent its submission of a marketing application for OCU300, or prevent the FDA making the approval of a marketing application effective. Applicants submitting NDAs under Section 505(b)(2) of the FDCA must provide a patent certification for the patents listed in FDA’s list of Approved Drug Products with Therapeutic Equivalence Evaluations, commonly referred to as the Orange Book, for all reference listed drugs and for all brand name products identified in published literature upon which the 505(b)(2) application relies. The possible certifications are that (1) no patent information has been submitted to the FDA;</w:t>
      </w:r>
    </w:p>
    <w:p>
      <w:pPr>
        <w:spacing w:after="0" w:line="3" w:lineRule="exact"/>
        <w:rPr>
          <w:sz w:val="20"/>
          <w:szCs w:val="20"/>
          <w:color w:val="auto"/>
        </w:rPr>
      </w:pPr>
    </w:p>
    <w:p>
      <w:pPr>
        <w:ind w:right="240" w:firstLine="8"/>
        <w:spacing w:after="0" w:line="253"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has expired; (3) the date on which such patent expires; or (4) such patent is invalid or will not be infringed upon by the manufacture, use or sale of the drug product for which the application is submitted. If there are any listed patents for the reference listed or brand name products that Ocugen relies upon for its 505(b)(2) applications, the FDA may not approve its 505(b)(2) product candidates until all listed patents have expired, unless Ocugen challenges the listed patents through the last type of certification, also known as a paragraph IV certification, or otherwise indicates that it is not seeking approval of a patented method of use.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Ocugen does challenge a listed patent through a paragraph IV certification, under the Hatch Waxman Act, the holder of the patents or NDAs that the 505(b)</w:t>
      </w:r>
    </w:p>
    <w:p>
      <w:pPr>
        <w:spacing w:after="0" w:line="39" w:lineRule="exact"/>
        <w:rPr>
          <w:sz w:val="20"/>
          <w:szCs w:val="20"/>
          <w:color w:val="auto"/>
        </w:rPr>
      </w:pPr>
    </w:p>
    <w:p>
      <w:pPr>
        <w:ind w:right="160" w:firstLine="8"/>
        <w:spacing w:after="0" w:line="254"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references may file a patent infringement lawsuit after receiving notice of the paragraph IV certification. Filing of a patent infringement lawsuit against the filer of the 505(b)(2) application within 45 days of the patent or NDA owner’s receipt of notice triggers a one time, automatic, 30-month stay of the FDA’s ability to make the 505(b)(2) NDA approval effective. In such a case, the FDA may not make the 505(b)(2) NDA approval effective until the earlier of 30 months from the receipt of the notice of the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paragraph IV certification, the expiration of the patent, when the infringement case concerning each such patent was favorably decided in the applicant’s favor or settled, or such shorter or longer period as may be ordered by a court. Accordingly, Ocugen may invest a significant amount of time and expense in the development of one or more product candidates only to be subject to significant delay and patent litigation before such product candidates may be commercialized, if at all. In addition, a 505(b)(2) application approval may, in some cases, not be submitted, or may, in other cases, not be made effective until any existing non-patent regulatory exclusivities have expired or, if possible, are carved out from the label.</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Companies that produce branded reference listed drugs routinely bring litigation against applicants that seek regulatory approval to manufacture and market new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such products. Litigation to enforce or defend intellectual property rights is often complex and often involves significant expense and can delay or prevent introduction or sale of Ocugen’s product candidates. If patents are held to be valid and infringed by Ocugen’s product candidates in a particular jurisdiction, it may be required to cease selling, relinquish or destroy existing stock, or pay monetary damages in that jurisdiction unless it can obtain a license from the patent holder. There may also be situations where Ocugen uses its business judgment and decides to market and sell its approved products, notwithstanding the fact that allegations of patent infringement(s) have not been finally resolved by the courts, which is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Ocugen’s business, financial position, and results of operations and could cause the market value of its common stock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Ocugen’s product candidates to perform differently and affect the results of planned clinical trials or other future clinical trials conducted with the altered materials. Such changes may also require additional testing, FDA notification, or FDA approval. For instance, the FDA may require that Ocugen conducts a comparability study that evaluates the potential differences in the product candidate resulting from the change. Delays in designing and completing such a study to the satisfaction of the FDA could delay or preclude its development and commercialization plans, and the regulatory approval of its product candidates. It may also require the repetition of one or more clinical trials, increase clinical trial costs, delay approval of Ocugen’s product candidates and jeopardize its ability to commence product sales and generate revenue. Any of the foregoing could limit its future revenues and growth. Any changes would also require that Ocugen devote time and resources to manufacturing development and would also likely require additional testing and regulatory actions on its part, which may delay the development of its product candidates.</w:t>
      </w:r>
    </w:p>
    <w:p>
      <w:pPr>
        <w:spacing w:after="0" w:line="182"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Ocugen may not be successful in its efforts to develop product candidates based on its OcuNanoE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nanoemulsion formulation or expand the use of its OcuNanoE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nanoemulsion formulation for treating additional diseases and conditions.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Ocugen is currently directing some of its development efforts towards developing its product candidate based on its OcuNanoE™ nanoemulsion formulation and applying its OcuNanoE™ nanoemulsion formulation to support therapeutic interventions of ocular diseases with the potential of improving the tear film stability and targeting of drug molecules to the specialized tissues. Ocugen has product candidates at various stages of development for treatment of eye diseases and is exploring the potential use of its OcuNanoE™ nanoemulsion formulation in other diseases. Ocugen’s existing product candidates and any other potential product candidates that it identifies may not be suitable for continued preclinical or clinical development, including as a result of being shown to have harmful side effects, a lack of efficacy or other characteristics that indicate that such product candidates are unlikely to be products that will receive marketing approval and achieve market acceptance. If Ocugen does not successfully develop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commercialize its product candidates based upon its OcuNanoE™ nanoemulsion formulation, it will not be able to obtain substantial product revenues in future periods.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may expend its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Ocugen has limited financial and managerial resources, it focuses on research programs and product candidates that it identifies for specific indications. As a result, it may forego or delay pursuit of opportunities with other product candidates or for other indications that later prove to have greater commercial potential. Ocugen’s resource allocation decisions may cause it to fail to capitalize on viable commercial products or profitable market opportunities. Ocugen’s spending on current and future research and development programs and product candidates for specific indications may not yield any commercially viable products. If it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Ocugen to retain sole development and commercialization rights to such product candidate.</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may in the future conduct clinical trials for product candidates at sites outside the United States, and the FDA may not accept data from trials conducted in such locations.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Ocugen may in the future choose to conduct one or more of its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If the FDA does not accept the data from any trial that Ocugen conducts outside the United States, it would likely result in the need for additional trials, which would be costly and time-consuming and could delay or permanently halt Ocugen’s development of the applicable product candidates. Moreover, trials conducted outside the United States would be subject to the laws of the applicable foreign jurisdiction. Failure to comply with such laws could result in regulatory enforcement 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Ocugen’s product candidates from being marketed abroad.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market and sell its products in jurisdictions outside the United States, Ocugen must obtain separate marketing approvals and comply with numerous and varying regulatory requirements. The approval procedures vary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Ocugen’s clinical trials of its product candidates may not be sufficient to support an application for marketing approval outside the United States.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Ocugen, or any eventual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Ocugen’s ability to obtain approval elsewhere. Ocugen may not be able to file for marketing approvals and may not receive necessary approvals to commercialize its products in any market.</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Since a significant proportion of the regulatory framework in the United Kingdom is derived from European Union directives and regulations, the withdrawal could materially impact the regulatory regime with respect to the approval of Ocugen’s product candidates in the United Kingdom or the European Union. Any delay in obtaining, or an inability to obtain, any marketing approvals, as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result of Brexit or otherwise, would prevent Ocugen from commercializing its product candidates in the United Kingdom and/or the European Union and restrict its ability to generate revenue and achieve and sustain profitability. If any of these outcomes occur, Ocugen may be forced to restrict or delay efforts to seek regulatory approval in the United Kingdom and/or European Union for its product candidates, which could significantly and materially harm its business.</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to those specific indications and conditions for which approval has been granted, and Ocugen may be subject to fines, penalties, injunctions, or other enforcement actions if it is determined to be promoting the use of its products for unapproved or “off-label” uses, resulting in damage to Ocugen’s reputation and business.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Ocugen must comply with requirements concerning advertising and promotion for any product candidates for which it obtains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Ocugen is not able to obtain FDA approval for desired uses or indications for its product candidates, it may not market or promote them for those indications and uses, referred to as off-label uses, and Ocugen’s business may be adversely affected. Ocugen further must be able to sufficiently substantiate any claims that it makes for its products including claims comparing its products to other companies’ products and must abide by the FDA’s strict requirements regarding the content of promotion and advertising.</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studies and approved by the regulatory authorities, Ocugen is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companies concerning off-label use.</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Ocugen is found to have impermissibly promoted any of its product candidates, it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Ocugen will not be able to promote any products it develops for indications or uses for which they are not approved.</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Ocugen’s products, following approval, for off-label uses can also subject Ocugen to false claims and other litigation under federal and state statutes, including fraud and abuse and consumer protection laws. Such litigation can lead to civil and criminal penalties and fines, agreements with governmental authorities that materially restrict the manner in which it promotes or distributes therapeutic products and does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False Claims Act, which allows any individual to bring a lawsuit against a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sponsors of drugs and biologics have increased significantly in volume and breadth, leading to several substantial civil and criminal settlements, up to $3.0 billion, pertaining to certain sales practices and promoting off-label uses. In addition, False Claims Act lawsuits may expose sponsors to follow-on claims by private payers based on fraudulent marketing practices. This growth in litigation has increased the risk that companies will have to defend a false claim action, and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pay settlements fines or restitution, as well as criminal and civil penalties, agree to comply with burdensome reporting and compliance obligations, and be excluded from Medicare, Medicaid, or other federal and state healthcare programs. If Ocugen does not lawfully promote its approved products, if any, it may become subject to such litigation and, if it does not successfully defend against such actions, those actions may have a material adverse effect on its business, financial condition, results of operations and prospects.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Prescription Drug Marketing Act, and the promotion of biologic and pharmaceutical products are subject to additional FDA requirements and restrictions on promotional statements. If the FDA determines that Ocugen’s promotional activities violate its regulations and policies pertaining to product promotion, it could request that Ocugen modify its promotional materials or subject it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Ocugen’s business, financial condition, results of operations, and prospects.</w:t>
      </w:r>
    </w:p>
    <w:p>
      <w:pPr>
        <w:spacing w:after="0" w:line="1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Ocugen’s product candidates receive regulatory approval, it will be subject to ongoing obligations and continued regulatory review, which may result in significant additional expense. Additionally, any of Ocugen’s product candidates, if approved, could be subject to labeling and other restrictions and market withdrawal, and Ocugen may be subject to penalties if it fails to comply with regulatory requirements or experiences unanticipated problems with its products.</w:t>
      </w:r>
    </w:p>
    <w:p>
      <w:pPr>
        <w:spacing w:after="0" w:line="18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Any product candidate for which Ocugen obtains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practices (“cGMPs”), or cGMP-requirements relating to manufacturing, quality control, quality assurance, and corresponding maintenance of records and documents, requirements regarding the distribution of samples to physicians and good clinical practices, or GCPs, for any clinical trials that Ocugen conducts post-approval.</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Moreover, the FDA and comparable foreign regulatory authorities will continue to closely monitor the safety profile of any product even after approval. If the FDA or comparable foreign regulatory authorities become aware of new safety information after approval of any of Ocugen’s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Ocugen and any of its collaborators, including its contract manufacturer, could be subject to periodic unannounced inspections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product is less effective than previously thought or other problems with Ocugen’s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5620" w:right="5100" w:hanging="4951"/>
        <w:spacing w:after="0" w:line="532" w:lineRule="auto"/>
        <w:tabs>
          <w:tab w:leader="none" w:pos="9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0" w:right="340" w:hanging="331"/>
        <w:spacing w:after="0" w:line="282" w:lineRule="auto"/>
        <w:tabs>
          <w:tab w:leader="none" w:pos="9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restrictions on the indication or approved patient population, and required additional warnings, such as black box warnings, contraindications, and precautions;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comparable foreign authority may require that Ocugen establish or modify a similar strategy;</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1000" w:right="180" w:hanging="331"/>
        <w:spacing w:after="0" w:line="282" w:lineRule="auto"/>
        <w:tabs>
          <w:tab w:leader="none" w:pos="9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Ocugen submits;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Ocugen’s products;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1000" w:right="300" w:hanging="331"/>
        <w:spacing w:after="0" w:line="282" w:lineRule="auto"/>
        <w:tabs>
          <w:tab w:leader="none" w:pos="9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Non-compliance with any foreign jurisdictions’ requirements, including requirements regarding the protection of personal information, can also lead to significant penalties and sanctions.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Ocugen from achieving or maintaining market acceptance of the particular product candidate, if approved, or could substantially increase the costs and expenses of developing and commercializing such product, which in turn could delay or prevent Ocugen from generating significant revenues from its sale. Any of these events could further have other material and adverse effects on its operations and business and could adversely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its stock price and could significantly harm its business, financial condition, results of operations, and prospects.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Ocugen’s product candidates, that could limit the marketability of its product candidates, or that could impose additional regulatory obligations on it. Changes in medical practice and standard of care may also impact the marketability of its product candidates.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Ocugen is slow or unable to adapt to changes in existing requirements, standards of care, or the adoption of new requirements or policies, or if it is not able to maintain regulatory compliance, it may lose any marketing approval that it may have obtained and be subject to regulatory enforcement action.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Ocugen’s ability to achieve or sustain profitability. Further, the cost of compliance with post-approval regulations may have a negative effect on Ocugen’s operating results and financial condition.</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will need to obtain FDA approval of any proposed product names, and any failure or delay associated with such approval may adversely affect its business.</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Any name Ocugen intends to use for its product candidates will require approval from the FDA regardless of whether it has secured a formal trademark registration from the U.S. Patent and Trademark Office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Ocugen’s proposed product names, it may be required to adopt alternative names for its product candidates. If Ocugen adopts alternative names, it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third-parties, and be acceptable to the FDA. Ocugen may be unable to build a successful brand identity for a new trademark in a timely manner or at all, which would limit its ability to commercialize its product candidates.</w:t>
      </w:r>
    </w:p>
    <w:p>
      <w:pPr>
        <w:spacing w:after="0" w:line="18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future Ocugen may seek FDA designations to facilitate product candidate development, such as fast track or breakthrough designation. Ocugen may not receive any such designations or if it receives such designations they may not lead to faster development or regulatory review or approval and it does not increase the likelihood that Ocugen’s product candidates will receive marketing approval.</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future, Ocugen may seek product designations, such as fast track or breakthrough designation, which are intended to facilitate the development or regulatory review or approval process for product candidates. Receipt of such a designation is within the discretion of the FDA. Accordingly, even if Ocugen believes one of its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1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OCU300, OCU400 and OCU100 have received Orphan Drug Designation from the FDA. However, there is no guarantee that Ocugen will be able to maintain this designation, receive this designation for any of its other product candidates, or receive or maintain any corresponding benefits, including periods of exclusivity.</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Ocugen has obtained from the FDA Office of Orphan Products Orphan Drug Designations (“ODD”) for OCU300 for oGVHD, OCU400 for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associated retinal disease and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mutation-associated retinal disease, and OCU100 for RP. Ocugen was the first company to receive ODD for oGVHD from the FDA. It has obtained orphan medical product designation from the European Commission for OCU100 for RP in the European Union. Ocugen may also seek ODD for its other product candidates, as appropriate. While ODD does provide Ocugen with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advantages, it neither shortens the development time or regulatory review time of a product candidate nor gives the product candidate any advantage in the regulatory review or approval process.</w:t>
      </w:r>
    </w:p>
    <w:p>
      <w:pPr>
        <w:spacing w:after="0" w:line="16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Generally, if a product candidate with ODD subsequently receives marketing approval before another product considered by the FDA to be the same, for the same orphan indication, the product is entitled to a period of marketing exclusivity, which precludes the EMA or the FDA from approving another marketing application for the same drug or biologic for the same indication for a specified time period. The applicable period is seven years in the United States and ten years in Europe. The European exclusivity period can be reduced to six years if a product no longer meets the criteria for ODD or if the product is sufficiently profitable so that market exclusivity is no longer justified.</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Ocugen may not be able to obtain any future ODDs that it applies for, ODDs do not guarantee that Ocugen will be able to successfully develop its product candidates, and there is no guarantee that Ocugen will be able to maintain any ODDs that it receives. For instance, ODDs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even if Ocugen is able to receive and maintain ODDs, it may ultimately not receive any period of regulatory exclusivity if its product candidates are approved. For instance, Ocugen may not receive orphan product regulatory exclusivity if the indication for which it receives FDA approval is broader than the ODD. Orphan exclusivity may also be lost for the same reasons that ODD may be lost. Orphan exclusivity may further be lost if Ocugen is unable to assure a sufficient quantity of the product to meet the needs of patients with the rare disease or condition.</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Even if Ocugen obtains orphan exclusivity for any of its current or future product candidates, that exclusivity may not effectively protect the product from competition as different products can be approved for the same condition or products that are the same as Ocugen’s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ODD to multiple sponsors for the same compound or active molecule and for the same indication. If another sponsor receives FDA approval for such product before Ocugen does, Ocugen would be prevented from launching its product in the United States for the orphan indication for a period of at least seven years unless it can demonstrate clinical superiority. Moreover, third-party payors may reimburse for products off-label even if not indicated for the orphan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Ocugen’s Product Candidates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faces significant competition from other biologic, pharmaceutical and biotechnology companies, academic institutions, government agencies, and other research organizations. Ocugen’s operating results will suffer if it fails to compete effectively.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therapeutic products is highly competitive. Ocugen faces competition with respect to its current product candidates and will face competition with respect to any product candidates that Ocugen may seek to develop or commercialize in the future, from major biologic and pharmaceutical companies, specialty biologic and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Ocugen’s product candidates will target markets that are already served by a variety of competing products. Many of these existing products have achieved widespread acceptance among clinicians, patients and payors. In addition, many of these products are available on a generic basis, and Ocugen’s product candidates may not demonstrate sufficient additional clinical benefits to clinicians, patients or payors to justify a higher price compared to generic products. In many cases, insurers or other third-party payors, particularly Medicare, seek to encourage the use of generic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Ocugen’s ability to compete may further be affected in many cases by insurers or other third-party payors, particularly Medicare, seeking to encourage the use of generic or biosimilar products. Generic products are currently being used for certain of the indications that Ocugen is pursuing, and additional products are expected to become available on a generic basis over the coming years.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Ocugen’s commercial opportunities could be reduced or eliminated if its competitors develop and commercialize products that are safer, more effective, have fewer or less severe side effects, are more convenient or are less expensive than any products that Ocugen may develop. Ocugen’s competitors also may obtain FDA or other regulatory approval for their products more rapidly than Ocugen may obtain approval for its products, which could result in Ocugen’s competitors establishing a strong market position before Ocugen is able to enter the market. In addition, Ocugen’s ability to compete may be affected in many cases by insurers or other third-party payors coverage decisions.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Ocugen is competing or against which it may compete in the future have significantly greater financial resources and expertise in research and development, manufacturing, preclinical testing, conducting clinical trials, obtaining regulatory approvals, and marketing approved products than Ocugen does. Mergers and acquisitions in the biologic, pharmaceutical and biotechnology industries may result in even more resources being concentrated among a smaller number of Ocugen’s competitors. Early stage companies may also prove to be significant competitors, particularly through collaborative arrangements with large and established companies. These third parties compete with Ocugen in recruiting and retaining qualified scientific and management personnel and establishing clinical trial sites and patient registration for clinical trials, as well as in acquiring technologies complementary to, or necessary for, Ocugen’s programs.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Ocugen is unable to establish effective marketing and sales, capabilities or enter into agreements with third parties to market and sell its product candidates, if they are approved, Ocugen may be unable to generate product revenues.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Ocugen currently does not have a commercial infrastructure for the marketing, sale, and distribution of biologic and pharmaceutical products. If approved, in order to commercialize its products, Ocugen must build its marketing, sales, and distribution capabilities or make arrangements with third parties to perform these services. Ocugen may not be successful in doing so. Should Ocugen decide to develop its own marketing capabilities, it may incur expenses prior to product launch or even approval in order to recruit a sales force and develop a marketing and sales infrastructure. If a commercial launch is delayed as a result of FDA requirements non-approval or other reasons, Ocugen would incur these expenses prior to being able to realize any revenue from sales of its product candidates. Even if Ocugen is able to effectively hire a sales force and develop a marketing and sales infrastructure, its sales force and marketing teams may not be successful in commercializing its product candidates.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successful results of Ocugen’s ongoing and anticipated Phase 3 clinical trials and FDA approval of any of its product candidates, Ocugen may build a commercial team of specialty sales and marketing representatives in support of OCU300 and possibly other preclinical product candidates that Ocugen develops in the United States, if and when they are approved, as well as distribution capabilities. As discussed below, Ocugen may also partner with third parties to commercialize and distribute OCU300, or its other product candidates.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risks involved with Ocugen establishing its own sales, marketing and distribution capabilities. For example, recruiting and training a sales force is expensive, time-consuming, and could delay any product launch. Further, Ocugen may underestimate the size of the sales force required for a successful product launch and may need to expand its sales force earlier and at a higher cost than it anticipated. If the commercial launch of Ocugen’s product candidates for which it recruits a sales force and establish marketing capabilities is delayed or does not occur for any reason, Ocugen would have prematurely or unnecessarily incurred these commercialization expenses. This may be costly, and Ocugen’s investment would be lost if it cannot retain or reposition its sales and marketing personnel.</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Ocugen may also seek marketing approval and explore commercialization of OCU300 in certain markets outside the United States. It may also consider seeking marketing approval outside the United States for other preclinical product candidates in future. If Ocugen decides to seek regulatory approval for any of its product candidates outside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United States (including OCU300), it may need to seek additional patent approvals, licenses to patents held by third parties and/or face claims of infringing third-party patent rights.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Ocugen may also or alternatively decide to collaborate with a third-party or contract sales organization to commercialize any approved product candidates, in which event, its ability to generate product revenues may be limited. By example, Ocugen may retain commercialization rights to OCU300 or OCU310 or utilize a variety of collaboration, distribution and other marketing arrangements with one or more third parties to commercialize OCU300. Ocugen’s product revenues and its profitability, if any, under any such third-party collaboration, distribution or other marketing arrangements are likely to be lower than if Ocugen were to market, sell and distribute OCU300 entirely itself.</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Ocugen may not be successful in entering into arrangements with third parties to sell, market and distribute its product candidates or may be unable to do so on terms that are favorable to it. In addition, Ocugen would have less control over the sales efforts of any other third parties involved in its commercialization efforts and any of them may fail to devote the necessary resources and attention to sell and market its product candidates effectively. Ocugen could also be held liable if they failed to comply with applicable legal or regulatory requirements.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Ocugen does not establish sales, marketing and distribution capabilities successfully, either on its own or in collaboration with third parties, it will not be successful in commercializing any product candidates for which it receives marketing approval.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 has no prior experience in the marketing, sale, and distribution of biologic and pharmaceutical products, and there are significant risks involved in the building and managing of a commercial infrastructure. The establishment and development of commercial capabilities, including compliance plans, to market any products Ocugen may develop will be expensive and time consuming and could delay any product launch, and Ocugen may not be able to successfully develop this capability. Ocugen will have to compete with other biologic, pharmaceutical and biotechnology companies to recruit, hire, train, manage, and retain marketing and sales personnel. In the event Ocugen is unable to develop a team of marketing and sales representatives, it may not be able to commercialize its product candidates, which would limit Ocugen’s ability to generate product revenues. Factors that may inhibit Ocugen’s efforts to commercialize its product candidates include:</w:t>
      </w:r>
    </w:p>
    <w:p>
      <w:pPr>
        <w:spacing w:after="0" w:line="189" w:lineRule="exact"/>
        <w:rPr>
          <w:sz w:val="20"/>
          <w:szCs w:val="20"/>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its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Ocugen’s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225" w:lineRule="exact"/>
        <w:rPr>
          <w:rFonts w:ascii="Times New Roman" w:cs="Times New Roman" w:eastAsia="Times New Roman" w:hAnsi="Times New Roman"/>
          <w:sz w:val="18"/>
          <w:szCs w:val="18"/>
          <w:color w:val="auto"/>
        </w:rPr>
      </w:pPr>
    </w:p>
    <w:p>
      <w:pPr>
        <w:ind w:left="1000" w:right="380" w:hanging="331"/>
        <w:spacing w:after="0" w:line="282" w:lineRule="auto"/>
        <w:tabs>
          <w:tab w:leader="none" w:pos="9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Ocugen may make for the products;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0" w:right="920" w:hanging="331"/>
        <w:spacing w:after="0" w:line="282" w:lineRule="auto"/>
        <w:tabs>
          <w:tab w:leader="none" w:pos="9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Ocugen agrees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1000" w:hanging="331"/>
        <w:spacing w:after="0" w:line="282" w:lineRule="auto"/>
        <w:tabs>
          <w:tab w:leader="none" w:pos="9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Ocugen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00" w:right="880" w:hanging="331"/>
        <w:spacing w:after="0" w:line="282" w:lineRule="auto"/>
        <w:tabs>
          <w:tab w:leader="none" w:pos="9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 foregoing occur, Ocugen may not be successful in commercializing any product candidates for which it receives marketing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Ocugen’s product candidates do not achieve broad market acceptance, the revenues that it generates from their sales will be limited.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Ocugen has never commercialized a product candidate for any indication. Even if Ocugen’s product candidates are approved by the appropriate regulatory authorities for marketing and sale, they may not gain acceptance among physicians, patients, third-party payors, and others in the medical community. If any product candidates for which Ocugen obtains regulatory approval do not gain an adequate level of market acceptance, it may not generate significant product revenues or become profitable. Market acceptance of Ocugen’s product candidates by the medical community, patients, and third-party payors will depend on a number of factors, some of which are beyond Ocugen’s control. For example, physicians are often reluctant to switch their patients and patients may be reluctant to switch from existing therapies even when new and potentially more effective or safer treatments enter the market.</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While there are no drugs currently approved in the United States for treatment of oGVHD, there are several product candidates in clinical development for treatment of oGVHD in the United States. It is possible that doctors may rely on these treatments rather than OCU300, if and when it is approved for marketing by the FDA.</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generic or biosimilar versions of any products that compete with any of Ocugen’s product candidates are approved for marketing by the FDA, they would likely be offered at a substantially lower price than Ocugen expects to offer for its product candidates, if approved. In the case of OCU300, it is also possible that physicians may prescribe other less expensive brimonidine tartrate products off label rather that prescribe OCU300. As a result, clinicians, patients and third-party payors may choose to rely on products other than Ocugen’s product candidates for the treatment of ocular redness and discomfort in patients with oGVHD.</w:t>
      </w:r>
    </w:p>
    <w:p>
      <w:pPr>
        <w:spacing w:after="0" w:line="18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Ocugen’s product candidates may require significant resources and may not be successful. If any of Ocugen’s product candidates is approved but does not achieve an adequate level of market acceptance, Ocugen may not generate significant revenues and it may not become profitable. The degree of market acceptance of any of Ocugen’s product candidates will depend on a number of factors, including:</w:t>
      </w:r>
    </w:p>
    <w:p>
      <w:pPr>
        <w:spacing w:after="0" w:line="180" w:lineRule="exact"/>
        <w:rPr>
          <w:sz w:val="20"/>
          <w:szCs w:val="20"/>
          <w:color w:val="auto"/>
        </w:rPr>
      </w:pPr>
    </w:p>
    <w:p>
      <w:pPr>
        <w:ind w:left="960" w:hanging="291"/>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its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225" w:lineRule="exact"/>
        <w:rPr>
          <w:rFonts w:ascii="Times New Roman" w:cs="Times New Roman" w:eastAsia="Times New Roman" w:hAnsi="Times New Roman"/>
          <w:sz w:val="18"/>
          <w:szCs w:val="18"/>
          <w:color w:val="auto"/>
        </w:rPr>
      </w:pPr>
    </w:p>
    <w:p>
      <w:pPr>
        <w:ind w:left="1000" w:right="900" w:hanging="331"/>
        <w:spacing w:after="0" w:line="282" w:lineRule="auto"/>
        <w:tabs>
          <w:tab w:leader="none" w:pos="9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its products with other medicines patients are taking and any restrictions on the use of its products together with other medications;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Ocugen may make for the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0" w:right="660" w:hanging="331"/>
        <w:spacing w:after="0" w:line="282" w:lineRule="auto"/>
        <w:tabs>
          <w:tab w:leader="none" w:pos="9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 candidates that may be more restrictive than other competitive products;</w:t>
      </w:r>
    </w:p>
    <w:p>
      <w:pPr>
        <w:spacing w:after="0" w:line="161"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 which could reduce the marketing impact of any claims that Ocugen could make following FDA approval, if obtained;</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1000" w:hanging="331"/>
        <w:spacing w:after="0" w:line="266" w:lineRule="auto"/>
        <w:tabs>
          <w:tab w:leader="none" w:pos="9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coverage or reimbursement by third parties, such as insurance companies and other healthcare payors, and by government healthcare programs, including Medicaid and particularly by Medicare in light of the prevalence of dry eye disease in persons over age 55;</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 party payors to obtain coverage;</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Ocugen’s marketing and distribution of such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225" w:lineRule="exact"/>
        <w:rPr>
          <w:rFonts w:ascii="Times New Roman" w:cs="Times New Roman" w:eastAsia="Times New Roman" w:hAnsi="Times New Roman"/>
          <w:sz w:val="18"/>
          <w:szCs w:val="18"/>
          <w:color w:val="auto"/>
        </w:rPr>
      </w:pPr>
    </w:p>
    <w:p>
      <w:pPr>
        <w:ind w:left="1000" w:right="140" w:hanging="331"/>
        <w:spacing w:after="0" w:line="282" w:lineRule="auto"/>
        <w:tabs>
          <w:tab w:leader="none" w:pos="9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Ocugen agrees as part of a REMS or voluntary risk management plan;</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offer such product candidates for sale at competitive prices;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its third-party manufacturer and supplier support;</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potential market opportunities for Ocugen’s product candidates are difficult to precisely estimate. Ocugen’s estimates of the potential market opportunities are predicated on many assumptions, which may include industry knowledge and publications, third-party research reports, and other surveys, some of which Ocugen may have commissioned. Industry publications and third-party research, surveys and studies generally indicate that their information has been obtained from sources believed to be reliable, although they do not guarantee the accuracy or completeness of such information. While Ocugen believes these industry publications and third-party research, surveys and studies are reliable, it has not independently verified such data. In addition, while Ocugen believes that its internal assumptions are reasonable, these assumptions involve the exercise of significant judgment on the part of its management, are inherently uncertain, and the reasonableness of these assumptions has not been assessed by an independent source. If any of the assumptions proves to be inaccurate, the actual markets for Ocugen’s product candidates could be smaller than its estimates of the potential market opportunities, and as a result its product revenue may be limited, and it may be more difficult for it to achieve or maintain profitability.</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product candidates may face competition sooner than anticipated.</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Both Ocugen’s drug and biologic product candidates, if approved, may face competition from other products that are the same as or similar to its product candidates. If the FDA or comparable foreign regulatory authorities approve generic or similar versions of any of Ocugen’s product candidates that receive marketing approval, or such authorities do not grant its products appropriate periods of regulatory exclusivity before approving generic or similar versions of Ocugen’s products, the sales of its products could be adversely affected.</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case of Ocugen’s drug product candidates, once an NDA is approved, the product will become a “reference listed drug” in the FDA’s Orange Book. Other applicants may then seek approval of generic versions of Ocugen’s products through submission of ANDAs in the United States. In support of an ANDA, a generic applicant would not need to conduct full clinical studies. Rather, the applicant generally must show that its product has the same active ingredient(s), dosage form, strength, route of administration, conditions of use and labeling, among other commonalities, as the reference listed drug and that the generic version is bioequivalent to the reference listed drug, meaning it is available at the site of action at the same rate and to the same extent as the reference listed drug. Generic products may be significantly less costly to bring to market than the reference listed drug and companies that produce generic products are generally able to offer them at lower prices and are generally preferred by third party payors. As a result, the FDA, the administration and Congress have recently taken steps to encourage increased generic drug competition in the market in an effort to bring down drug costs. Following the introduction of a generic drug, a significant percentage of the sales of any branded product or reference listed drug is typically lost to the generic product. Moreover, in addition to generic competition, Ocugen could face competition from other companies seeking approval of drug products that are similar to its products using the 505(b)(2) regulatory pathway. Such applicants may be able to rely on Ocugen’s product candidates, if approved, or other approved drug products or published literature to develop drug products that are similar to Ocugen’s. The introduction of a drug product similar to Ocugen’s product candidates could expose it to increased competition.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ANDA or 505(b)(2) applicants seeking to rely upon any of Ocugen’s product candidates, if such product candidates are approved, would need to submit patent certification statements with their applications for any of Ocugen’s patents that are listed in the FDA’s Orange Book. There are detailed rules and requirements regarding the patents that may be submitted to the FDA for listing in the Orange Book. Ocugen may be unable to obtain patents covering its product candidates that contain one or more claims that satisfy the requirements for listing in the Orange Book. If one of Ocugen’s product candidates is approved and a patent covering that product candidate is not listed in the Orange Book, an ANDA or 505(b)(2) applicant would not have to submit a patent certification with regard to such patent to the FDA, in which case, Ocugen would not receive the protections provided by the Hatch Waxman Act.</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if an ANDA or 505(b)(2) applicant files a paragraph IV challenge to any patents that Ocugen may list in the FDA’s Orange Book and if Ocugen does not file a patent infringement lawsuit within 45 days of receiving notice of a paragraph IV certification, the ANDA or 505(b)(2) applicant would not be subject to a 30-month stay. If Ocugen did file such an action, the litigation or other proceedings to enforce or defend its intellectual property rights would likely be complex in nature, may be expensive and time consuming, may divert its management’s attention from its core business, and may result in unfavorable results that could adversely impact its ability to prevent third parties from competing with its products. Accordingly, upon approval of its product candidates Ocugen may be subject to generic competition or competition from similar products, or may need to commence patent infringement proceedings, which would divert its resources.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 currently anticipates that it may be eligible for three years of non-patent marketing exclusivity in the United States for OCU300 if it is approved. These three years, however, would only protect Ocugen’s modifications in formulation or approved uses in comparison to the reference listed drug, would not prevent other companies from submitting full NDAs, and would not prevent physicians from prescribing other products off-label or third-party payors from reimbursing for them. By example, even if Ocugen receives approval for OCU300, physicians may prescribe other brimonidine tartrate products off-label for the treatment of ocular discomfort and ocular redness in patients with oGVHD. Moreover, applicants may be able to rely on a reference listed drug that is not one of Ocugen’s product candidates, or, in the case of 505(b)(2) applicants, published literature, in which case any periods of patent or non-patent protection that it may have may not prevent FDA from making an approval effective.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Similarly, if the FDA licenses OCU400, OCU200 or OCU100, Ocugen may face competition from biosimilar products. The enactment of the Biologics Price Competition and Innovation Act of 2009, or BPCIA, as part of the Affordable Care Act, or ACA,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As in the generic drug product space, the FDA and the administration are taking steps to encourage increased biosimilar competition in the market in an effort to bring down the cost of biologic products. If another company pursues approval of a product that is biosimilar to any biologic product for which Ocugen receives FDA approval, it may need to pursue costly and time-consuming patent infringement actions, which may include certain statutorily specified regulatory steps before an infringement action may be brought. Biosimilar applicants may also be able to bring an action for declaratory judgment concerning Ocugen’s patents, requiring that it spend time and money defending the action.</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cannot be approved by the FDA until 12 years after the original branded product was approved under a BLA. Certain changes, however, and supplements to an approved BLA, and certain subsequent applications filed by the same sponsor, manufacturer, licensor, predecessor in interest, or other related entity do not qualify for the 12-year exclusivity period. Moreover, there have been efforts to decrease this period of exclusivity to a shorter timeframe. Future proposed budgets, international trade agreements and other arrangements or proposals may affect periods of exclusivity. Ocugen’s biologic product candidates may qualify for the BPCIA’s 12-year period of exclusivity, however, there is a risk that the FDA will not consider Ocugen’s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Ocugen’s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even over reference biologics, absent a determination of interchangeability.</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certain of Ocugen’s drug and biologic product candidates, it may seek pediatric exclusivity, which is another type of non-patent marketing exclusivity in the United States. This is not a patent term extension, but it effectively extends the regulatory period during which the FDA cannot approve another application. Ocugen cannot provide any assurance that pediatric exclusivity will be obtained for any of its product candidates.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Ocugen does not receive any anticipated periods of regulatory exclusivity or to the extent FDA or foreign regulatory authorities approve any biosimilar, interchangeable, generic, similar, or other competing products, its business would be adversely impacted. Competition that Ocugen’s products may face from generic, biosimilar, interchangeable, similar, or other competing products could materially and adversely impact Ocugen’s future revenue, profitability, and cash flows and substantially limit its ability to obtain a return on the investments it has made in those product candidates.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faces potential product liability exposure, and if successful claims are brought against it, Ocugen may incur substantial liability for its product candidates and may have to limit their commercialization.</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use of Ocugen’s product candidates in clinical trials, and the sale of any of its product candidates for which it obtains regulatory approval, exposes Ocugen to the risk of product liability claims. Ocugen faces inherent risk of product liability related to the testing of its product candidates in human clinical trials and will face an even greater risk if Ocugen commercially sells any product candidates that it may develop. For example, Ocugen may be sued if any product candidate it develops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Ocugen by consumers, healthcare providers or others using, administering or selling its products. If Ocugen cannot successfully defend itself against these claims, it will incur substantial liabilities or be required to limit development or commercialization of its product candidates. Even successful defense would require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and management resources. Regardless of merit or eventual outcome, liability claims may result in:</w:t>
      </w:r>
    </w:p>
    <w:p>
      <w:pPr>
        <w:spacing w:after="0" w:line="225" w:lineRule="exact"/>
        <w:rPr>
          <w:sz w:val="20"/>
          <w:szCs w:val="20"/>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Ocugen’s products and/or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Ocugen’s business reputation or financial stability;</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Ocugen’s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Ocugen’s stock price; or</w:t>
      </w:r>
    </w:p>
    <w:p>
      <w:pPr>
        <w:spacing w:after="0" w:line="225" w:lineRule="exact"/>
        <w:rPr>
          <w:rFonts w:ascii="Times New Roman" w:cs="Times New Roman" w:eastAsia="Times New Roman" w:hAnsi="Times New Roman"/>
          <w:sz w:val="18"/>
          <w:szCs w:val="18"/>
          <w:color w:val="auto"/>
        </w:rPr>
      </w:pPr>
    </w:p>
    <w:p>
      <w:pPr>
        <w:ind w:left="1000" w:right="540" w:hanging="331"/>
        <w:spacing w:after="0" w:line="282" w:lineRule="auto"/>
        <w:tabs>
          <w:tab w:leader="none" w:pos="9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 product recalls, withdrawals, revocation of approvals, or labeling, marketing or promotional restrictions.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 currently holds $5.0 million in product liability insurance coverage in the aggregate, with a per incident limit of $3.0 million, which may not be adequate to cover all liabilities that it may incur. Ocugen may need to increase its insurance coverage as it expands its clinical trials. Ocugen will need to further increase its insurance coverage if it commences commercialization of any of its product candidates for which it obtains marketing approval. Insurance coverage is increasingly expensive. Ocugen may not be able to maintain insurance coverage at a reasonable cost or in an amount adequate to satisfy any liability that may arise. On occasion, large judgments have been awarded in class action lawsuits based on therapeutics that had unanticipated side effects. A successful product liability claim or series of claims brought against Ocugen could cause its stock price to fall and, if judgments exceed its insurance coverage, could decrease its cash and adversely affect its business and its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Ocugen’s Dependence on Third Parties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Ocugen relies, and expects to continue to rely, on third parties to conduct, supervise, and monitor its preclinical studies and clinical trials, and those third parties may not perform satisfactorily, including failing to meet deadlines for the completion of such trials or failing to comply with regulatory requirements.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Ocugen relies on third parties, study sites, and others to conduct, supervise, and monitor its preclinical and clinical trials for its product candidates and does not currently plan to independently conduct clinical or preclinical trials of any other potential product candidates. Ocugen expects to continue to rely on third parties, such as CROs clinical data management organizations, medical and scientific institutions, and clinical and preclinical investigators, to conduct its preclinical studies and clinical trials. For example, for the clinical studies completed to date concerning the use of brimonidine tartrate for the treatment of ocular discomfort and ocular redness in patients with oGVHD, Ocugen relied on an investigator to sponsor and conduct the studies. For the clinical study concerning the use of brimonidine tartrate for the treatment of the signs and symptoms of dry eye disease, while Ocugen sponsored the study, it relied on third-party vendors and investigators for the conduct of the study.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Ocugen has agreements governing the activities of such third parties, it has limited influence and control over their actual performance and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instance, Ocugen’s third-party service providers are not its employees, and except for remedies available to it under its agreements with such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Ocugen cannot control whether or not they devote sufficient time and resources to its ongoing clinical, non-clinical, and preclinical programs. If these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third parties do not successfully carry out their contractual duties, meet expected deadlines or conduct Ocugen’s preclinical studies or clinical trials in accordance with regulatory requirements or its stated protocols, if they need to be replaced or if the quality or accuracy of the data they obtain is compromised due to the failure to adhere to Ocugen’s protocols, regulatory requirements or for other reasons, Ocugen’s trials may be repeated, extended, delayed, or terminated, it may not be able to obtain, or may be delayed in obtaining, marketing approvals for its product candidates, it may not be able to, or may be delayed in its efforts to, successfully commercialize its product candidates, or it or they may be subject to regulatory enforcement actions. As a result, Ocugen’s results of operations and the commercial prospects for its product candidates would be harmed, its costs could increase and its ability to generate revenues could be delayed. To the extent Ocugen is unable to successfully identify and manage the performance of third-party service providers in the future, its business may be materially and adversely affected. Ocugen’s third-party service providers may also have relationships with other entities, some of which may be its competitors, for whom they may also be conducting trials or other therapeutic development activities that could harm Ocugen’s competitive position.</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Ocugen’s reliance on these third parties for development activities will reduce its control over these activities. Nevertheless, Ocugen is responsible for ensuring that each of its studies is conducted in accordance with the applicable protocol, legal, regulatory, and scientific standards and its reliance on third parties does not relieve it of its regulatory responsibilities. For example, Ocugen will remain responsible for ensuring that each of its trials is conducted in accordance with the general investigational plan and protocols for the trial. Ocugen must also ensure that its preclinical trials are conducted in accordance with good laboratory practices (“GLPs”), as appropriate. Moreover, the FDA and comparable foreign regulatory authorities require Ocugen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and preclinical investigators, and trial sites. If Ocugen or any of its third-party service providers fail to comply with applicable GCPs or other regulatory requirements, it or they may be subject to enforcement or other legal actions, the data generated in its trials may be deemed unreliable and the FDA or comparable foreign regulatory authorities may require it to perform additional studies.</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Ocugen will be required to report certain financial interests of its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Ocugen cannot assure you that upon inspection by a given regulatory authority, such regulatory authority will determine that any of its trials complies with the applicable regulatory requirements. In addition, Ocugen’s clinical trials must be conducted with product candidates that were produced under cGMP conditions. Failure to comply with these regulations may require it to repeat clinical trials, which would delay the regulatory approval process. Ocugen is also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18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Ocugen’s clinical or preclinical studies might terminate for a variety of reasons, including a failure to perform by the third parties. If any of Ocugen’s relationships with these third parties terminate, it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Ocugen needs to enter into alternative arrangements, it could delay its product development activities and adversely affect its business. Though Ocugen carefully manages its relationships with its third parties, there can be no assurance that it will not encounter challenges or delays in the future or that these delays or challenges will not have a material adverse impact on its business, financial condition and prospects, and results of operations.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Ocugen also relies on other third parties to store and distribute its products for the clinical and preclinical trials that it conducts. Any performance failure on the part of its distributors could delay development, marketing approval, or commercialization of its product candidates, producing additional losses and depriving it of potential product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Ocugen relies fail to produce its product candidates or components in the volumes that it requires on a timely basis, or fail to comply with stringent regulations applicable to biologic and pharmaceutical manufacturers, Ocugen may face delays in the development and commercialization of, or be unable to meet demand for, its product candidates and may lose potential revenues.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 does not manufacture any of its product candidates or any product components, and it does not currently plan to develop any capacity to do so. Ocugen expects to rely on a qualified supplier to manufacture and supply to it a minimum amount of brimonidine tartrate (the drug substance used in the manufacture of OCU300) for use in process validation campaigns and future commercial needs. Ocugen expects to rely on another third-party manufacturer (U.S. based) to supply commercial drug products of OCU300 if and when approved for marketing by applicable regulatory authorities. Ocugen expects to rely on its qualified supplier and other third parties to manufacture clinical supplies of other product candidates and commercial supplies of all of its products, if and when approved for marketing by applicable regulatory authorities, as well as for packaging, serialization, storage, distribution and other production logistics.</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Ocugen’s current and anticipated future dependence upon others for the manufacture of its product candidates or any product that it develops may adversely affect its future profit margins and its ability to commercialize any products that receive marketing approval on a timely and competitive basis. In addition, any performance failure on the part of its existing or future manufacturers could delay clinical development or marketing approval.</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Ocugen’s product candidates in accordance with regulatory requirements, if there are disagreements between Ocugen and such parties, or if such parties are unable to expand capacities to support commercialization of any of Ocugen’s product candidates for which it obtains marketing approval, Ocugen may not be able to produce, or may be delayed in producing sufficient product candidates to meet its supply requirements. Any delays in obtaining adequate supplies with respect to Ocugen’s product candidates and components may delay the development or commercialization of its product candidates.</w:t>
      </w:r>
    </w:p>
    <w:p>
      <w:pPr>
        <w:spacing w:after="0" w:line="18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Ocugen may not succeed in its efforts to establish manufacturing relationships or other alternative arrangements for any of its product candidates, components, and programs. Ocugen’s product candidates may compete with other products and product candidates for access to manufacturing facilities. There are a limited number of manufacturers that operate under cGMP regulations and that are both capable of manufacturing for Ocugen and willing to do so. Moreover, because Ocugen’s product candidates must be manufactured under sterile conditions, the number of manufacturers who can meet this requirement are even more limited. If Ocugen’s existing third-party manufacturers, or the third parties that it engages in the future to manufacture a product or component for commercial sale or for its clinical trials should cease to continue to do so for any reason, Ocugen would likely experience delays in obtaining sufficient quantities of its product candidates for it to meet commercial demand or to advance its clinical trials while it identifies and qualifies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Ocugen may need to locate an appropriate replacement third-party relationship, which may not be readily available or on acceptable terms, which would cause additional delay and increased expense. The addition of a new or alternative manufacturer may also require FDA approvals and may have a material adverse effect on Ocugen’s business.</w:t>
      </w:r>
    </w:p>
    <w:p>
      <w:pPr>
        <w:spacing w:after="0" w:line="17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for any reason Ocugen is unable to obtain adequate supplies of its product candidates or the components used to manufacture them, it will be more difficult for it to develop its product candidates and compete effectively. Further, even if Ocugen does establish such collaborations or arrangements, its third-party manufacturers may breach, terminate, or not renew these agreements.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Ocugen or its third-party manufacturers may also encounter shortages in the raw materials, therapeutic substances, or active pharmaceutical ingredients necessary to produce its product candidates in the quantities needed for its clinical trials or, if its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Ocugen’s competitors or others. Ocugen’s or its third-party manufacturers’ failure to obtain the raw materials, therapeutic substances, or active pharmaceutical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ingredients necessary to manufacture sufficient quantities of its product candidates may have a material adverse effect on its business.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problems or delays Ocugen experiences in preparing for commercial-scale manufacturing of a product candidate or component, including manufacturing validation, may result in a delay in FDA approval or commercial launch of the product candidate or may impair its ability to manufacture commercial quantities or such quantities at an acceptable cost, which could result in the delay, prevention, or impairment of commercialization of its product candidates and could adversely affect its business. Furthermore, if Ocugen’s commercial manufacturers fail to deliver the required commercial quantities of its product candidates on a timely basis and at commercially reasonable prices, it would likely be unable to meet demand for its products and it would lose potential revenues.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Ocugen has a commercial supply arrangement with a supplier, if its supplier does not perform as it expects or if Ocugen is not able to enter into a final contractual agreement, it may be required to replace its supplier with one or more other suppliers. If this were to occur, Ocugen may incur added costs and delays in identifying and qualifying any such replacements. Additional manufacturers and testing laboratories for its product candidates will be considered for long-term commercial supply if and when such product candidates are approved for marketing by applicable regulatory authorities.</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manufacture of biologic and 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Ocugen’s manufacturers were to encounter any of these difficulties and were unable to perform as agreed, its ability to provide product candidates to patients in its clinical trials and for commercial use, if approved, would be jeopardized. Reliance on third-party manufacturers entails exposure to risks to which it would not be subject if it manufactured the product candidate itself, including:</w:t>
      </w:r>
    </w:p>
    <w:p>
      <w:pPr>
        <w:spacing w:after="0" w:line="189" w:lineRule="exact"/>
        <w:rPr>
          <w:sz w:val="20"/>
          <w:szCs w:val="20"/>
          <w:color w:val="auto"/>
        </w:rPr>
      </w:pPr>
    </w:p>
    <w:p>
      <w:pPr>
        <w:ind w:left="960" w:hanging="291"/>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225" w:lineRule="exact"/>
        <w:rPr>
          <w:rFonts w:ascii="Times New Roman" w:cs="Times New Roman" w:eastAsia="Times New Roman" w:hAnsi="Times New Roman"/>
          <w:sz w:val="18"/>
          <w:szCs w:val="18"/>
          <w:color w:val="auto"/>
        </w:rPr>
      </w:pPr>
    </w:p>
    <w:p>
      <w:pPr>
        <w:ind w:left="1000" w:right="340" w:hanging="331"/>
        <w:spacing w:after="0" w:line="282" w:lineRule="auto"/>
        <w:tabs>
          <w:tab w:leader="none" w:pos="9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 candidates and products for access to a limited number of suitable manufacturing facilities that operate under cGMP regulations;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000" w:right="60" w:hanging="331"/>
        <w:spacing w:after="0" w:line="282" w:lineRule="auto"/>
        <w:tabs>
          <w:tab w:leader="none" w:pos="9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Ocugen’s product candidates as a result of using third-party manufacturers for all aspects of manufacturing activities;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its trade secrets and know-how from misappropriation or inadvertent disclosure;</w:t>
      </w:r>
    </w:p>
    <w:p>
      <w:pPr>
        <w:spacing w:after="0" w:line="225" w:lineRule="exact"/>
        <w:rPr>
          <w:rFonts w:ascii="Times New Roman" w:cs="Times New Roman" w:eastAsia="Times New Roman" w:hAnsi="Times New Roman"/>
          <w:sz w:val="18"/>
          <w:szCs w:val="18"/>
          <w:color w:val="auto"/>
        </w:rPr>
      </w:pPr>
    </w:p>
    <w:p>
      <w:pPr>
        <w:ind w:left="1000" w:right="300" w:hanging="331"/>
        <w:spacing w:after="0" w:line="282" w:lineRule="auto"/>
        <w:tabs>
          <w:tab w:leader="none" w:pos="9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breach or nonrenewal of manufacturing agreements with third parties in a manner or at a time that may be costly or damaging to Ocugen or result in delays in the development or commercialization of its product candidates; and</w:t>
      </w:r>
    </w:p>
    <w:p>
      <w:pPr>
        <w:spacing w:after="0" w:line="161" w:lineRule="exact"/>
        <w:rPr>
          <w:rFonts w:ascii="Times New Roman" w:cs="Times New Roman" w:eastAsia="Times New Roman" w:hAnsi="Times New Roman"/>
          <w:sz w:val="18"/>
          <w:szCs w:val="18"/>
          <w:color w:val="auto"/>
        </w:rPr>
      </w:pPr>
    </w:p>
    <w:p>
      <w:pPr>
        <w:ind w:left="1000" w:right="360" w:hanging="331"/>
        <w:spacing w:after="0" w:line="282" w:lineRule="auto"/>
        <w:tabs>
          <w:tab w:leader="none" w:pos="9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Ocugen’s third-party manufacturers or suppliers caused by conditions unrelated to its business or operations, including the bankruptcy of the manufacturer or supplier.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all manufacturers of Ocugen’s product candidates and therapeutic substances must comply with cGMP requirements enforced by the FDA that are applicable to both finished products and their active components used both for clinical and commercial supply. The FDA enforces these requirements through its facilities inspection program. Ocugen’s manufacturers must be approved by the FDA pursuant to inspections that will be conducted after it submits its marketing applications to the agency. Ocugen manufacturers will also be subject to continuing FDA and other regulatory authority inspections should it receive marketing approval. Further, Ocugen, in cooperation with its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contract manufacturers, must supply all necessary chemistry, manufacturing, and control documentation to the FDA in support of a marketing application on a timely basis.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cGMP requirements include quality control, quality assurance, and the maintenance of records and documentation. Manufacturers of Ocugen’s product candidates and the therapeutic substances and active pharmaceutical ingredients necessary to produce its product candidates may be unable to comply with its specifications, cGMP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Ocugen’s contract manufacturers cannot successfully manufacture material that conforms to its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Ocugen or a third party to implement and that may include the temporary or permanent suspension of a clinical trial or commercial sales or the temporary or permanent closure of a facility. Any such remedial measures imposed upon or by Ocugen or third parties with whom Ocugen contracts could materially harm its business. Any delays in obtaining products or product candidates that comply with the applicable regulatory requirements may result in delays to clinical trials, product approvals, and commercialization. It may also require that Ocugen conduct additional studies.</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Ocugen is ultimately responsible for the manufacture of its product candidates, other than through its contractual arrangements, Ocugen has little control over its manufacturers’ compliance with these regulations and standards. If the FDA or a comparable foreign regulatory authority does not approve these facilities for the manufacture of its product candidates or if it withdraws any such approval in the future, Ocugen may need to find alternative manufacturing facilities, which would significantly impact its ability to develop, obtain and maintain regulatory approval for or market its product candidates, if approved. Any new manufacturers would need to either obtain or develop the necessary manufacturing know-how, and obtain the necessary equipment and materials, which may take substantial time and investment. Ocugen must also receive FDA approval for the use of any new manufacturers for commercial supply.</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 failure to comply with the applicable regulatory requirements may result in regulatory enforcement actions against Ocugen’s manufacturers or Ocugen, including fines and civil and criminal penalties, including imprisonment, suspension or restrictions of production, injunctions, delay, withdrawal or denial of product approval or supplements to approved products, clinical holds or termination of clinical studies, warning or untitled letters, regulatory authority communications warning the public about safety issues with the product, refusal to permit the import or export of the products, product seizure, detention, or recall, operating restrictions, suits under the civil False Claims Act, corporate integrity agreements, or consent decrees. Depending on the severity of any potential regulatory action, Ocugen’s clinical or commercial supply could be interrupted or limited, which could have a material adverse effect on its business.</w:t>
      </w:r>
    </w:p>
    <w:p>
      <w:pPr>
        <w:spacing w:after="0" w:line="17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Ocugen does not currently have arrangements in place for redundant supply for bulk pharmaceutical and biologic substances and finished products. Any change in Ocugen’s manufacturers could be costly because the commercial terms of any new arrangement could be less favorable and because the expenses relating to the transfer of necessary technology and processes could be significant.</w:t>
      </w:r>
    </w:p>
    <w:p>
      <w:pPr>
        <w:spacing w:after="0" w:line="17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Ocugen may rely on third parties to perform many essential services for any products that it commercializes, including services related to warehousing and inventory control, distribution, government price reporting, customer service, accounts receivable management, cash collection, and pharmacovigilance and adverse event reporting. If these third parties fail to perform as expected or to comply with legal and regulatory requirements, Ocugen’s ability to commercialize its product candidates will be significantly impacted and it may be subject to regulatory sanctions.</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Ocugen may retain third-party service providers to perform a variety of functions related to the sale and distribution of its product candidates, key aspects of which will be out of its direct control. These service providers may provide key services related to warehousing and inventory control, distribution, customer service, accounts receivable management, and cash collection. If Ocugen retains a service provider, it would substantially rely on it as well as other third-party providers that perform services for it, including entrusting its inventories of products to their care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handling. If these third-party service providers fail to comply with applicable laws and regulations, fail to meet expected deadlines, or otherwise do not carry out their contractual duties to Ocugen, or encounter physical or natural damage at their facilities, Ocugen’s ability to deliver product to meet commercial demand would be significantly impaired and it may be subject to regulatory enforcement action.</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Ocugen may engage third parties to perform various other services for it relating to pharmacovigilance and adverse event reporting, safety database management, fulfillment of requests for medical information regarding its product candidates and related services. If the quality or accuracy of the data maintained by these service providers is insufficient, or these third parties otherwise fail to comply with regulatory requirements, Ocugen could be subject to regulatory sanctions.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Ocugen may contract with a third party to calculate and report pricing information mandated by various government programs. If a third party fails to timely report or adjust prices as required, or errors in calculating government pricing information from transactional data in its financial records, it could impact Ocugen’s discount and rebate liability, and potentially subject it to regulatory sanctions or False Claims Act lawsuits.</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may collaborate with third parties for the development or commercialization of its product candidates. Ocugen may not be successful in establishing or maintaining collaborative relationships, which could adversely affect its ability to develop and commercialize its product candidates.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future Ocugen may seek collaboration arrangements with biologic, pharmaceutical or biotechnology companies for the development or commercialization of its product candidates. Ocugen may utilize a variety of types of collaboration, distribution and other marketing arrangements with third parties to develop and commercialize its product candidates outside the United States. Ocugen may also enter into arrangements with third parties to perform these services in the United States if it does not establish its own sales, marketing and distribution capabilities in the United States or if it determines that such third-party arrangements are otherwise beneficial. For example, Ocugen may utilize a variety of collaboration, distribution and other marketing arrangements with one or more third parties to facilitate commercialization of OCU300. Ocugen may also consider potential collaborative partnership opportunities for sales, marketing, distribution, development, or licensing or broader collaboration arrangements, including with large and mid-size pharmaceutical companies, regional and national pharmaceutical companies and biotechnology companies. Ocugen is not currently party to any such arrangement.</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success of future collaboration arrangements that Ocugen may enter into will depend heavily on the efforts and activities of its collaborators. Collaborators generally have significant discretion in determining the efforts and resources that they will apply to collaboration arrangements. Accordingly, if Ocugen does enter into any such arrangements with any third parties in the future, it will likely have limited control over the amount and timing of resources that its collaborators dedicate to the development or commercialization of its product candidates. Ocugen’s ability to generate revenues from these arrangements will depend on its collaborators’ abilities and efforts to successfully perform the functions assigned to them in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Moreover, collaborations with biologic and pharmaceutical companies and other third parties are often terminated or allowed to expire. Any such termination or expiration would adversely affect Ocugen financially and could harm its business reputation.</w:t>
      </w:r>
    </w:p>
    <w:p>
      <w:pPr>
        <w:spacing w:after="0" w:line="18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Ocugen may also license the right to market and sell its product candidates under its collaborators’ labeler codes. Alternatively, Ocugen may enter into agreements with collaborators to market and sell its product candidates under its own labeler code, in which case errors and omissions by collaborators in capturing and transmitting transactional data may impact the accuracy of its government price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collaborations Ocugen might enter into may pose a number of risks, including the following:</w:t>
      </w:r>
    </w:p>
    <w:p>
      <w:pPr>
        <w:spacing w:after="0" w:line="225" w:lineRule="exact"/>
        <w:rPr>
          <w:sz w:val="20"/>
          <w:szCs w:val="20"/>
          <w:color w:val="auto"/>
        </w:rPr>
      </w:pPr>
    </w:p>
    <w:p>
      <w:pPr>
        <w:ind w:left="960" w:hanging="291"/>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0" w:right="1040" w:hanging="331"/>
        <w:spacing w:after="0" w:line="282"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00" w:hanging="331"/>
        <w:spacing w:after="0" w:line="266"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ind w:left="1000" w:right="700" w:hanging="331"/>
        <w:spacing w:after="0" w:line="282"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1000" w:right="440" w:hanging="331"/>
        <w:spacing w:after="0" w:line="282"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Ocugen to regulatory enforcement actions;</w:t>
      </w:r>
    </w:p>
    <w:p>
      <w:pPr>
        <w:spacing w:after="0" w:line="161" w:lineRule="exact"/>
        <w:rPr>
          <w:rFonts w:ascii="Times New Roman" w:cs="Times New Roman" w:eastAsia="Times New Roman" w:hAnsi="Times New Roman"/>
          <w:sz w:val="18"/>
          <w:szCs w:val="18"/>
          <w:color w:val="auto"/>
        </w:rPr>
      </w:pPr>
    </w:p>
    <w:p>
      <w:pPr>
        <w:ind w:left="1000" w:right="220" w:hanging="331"/>
        <w:spacing w:after="0" w:line="266"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Ocugen’s product candidates if the collaborators believe that competitive products are more likely to be successfully developed or can be commercialized under terms that are more economically attractive than Ocugen’s;</w:t>
      </w:r>
    </w:p>
    <w:p>
      <w:pPr>
        <w:spacing w:after="0" w:line="176" w:lineRule="exact"/>
        <w:rPr>
          <w:rFonts w:ascii="Times New Roman" w:cs="Times New Roman" w:eastAsia="Times New Roman" w:hAnsi="Times New Roman"/>
          <w:sz w:val="18"/>
          <w:szCs w:val="18"/>
          <w:color w:val="auto"/>
        </w:rPr>
      </w:pPr>
    </w:p>
    <w:p>
      <w:pPr>
        <w:ind w:left="1000" w:right="220" w:hanging="331"/>
        <w:spacing w:after="0" w:line="313" w:lineRule="auto"/>
        <w:tabs>
          <w:tab w:leader="none" w:pos="95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Ocugen may be viewed by its collaborators as competitive with their own product candidates or products, which may cause collaborators to cease to devote resources to the commercialization of Ocugen’s product candidates;</w:t>
      </w:r>
    </w:p>
    <w:p>
      <w:pPr>
        <w:spacing w:after="0" w:line="138" w:lineRule="exact"/>
        <w:rPr>
          <w:rFonts w:ascii="Times New Roman" w:cs="Times New Roman" w:eastAsia="Times New Roman" w:hAnsi="Times New Roman"/>
          <w:sz w:val="17"/>
          <w:szCs w:val="17"/>
          <w:color w:val="auto"/>
        </w:rPr>
      </w:pPr>
    </w:p>
    <w:p>
      <w:pPr>
        <w:ind w:left="1000" w:right="280" w:hanging="331"/>
        <w:spacing w:after="0" w:line="282"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Ocugen’s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1000" w:right="80" w:hanging="331"/>
        <w:spacing w:after="0" w:line="261"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Ocugen with respect to product candidates, or might result in litigation or arbitration, any of which would be time consuming and expensive;</w:t>
      </w:r>
    </w:p>
    <w:p>
      <w:pPr>
        <w:spacing w:after="0" w:line="180" w:lineRule="exact"/>
        <w:rPr>
          <w:rFonts w:ascii="Times New Roman" w:cs="Times New Roman" w:eastAsia="Times New Roman" w:hAnsi="Times New Roman"/>
          <w:sz w:val="18"/>
          <w:szCs w:val="18"/>
          <w:color w:val="auto"/>
        </w:rPr>
      </w:pPr>
    </w:p>
    <w:p>
      <w:pPr>
        <w:ind w:left="1000" w:right="140" w:hanging="331"/>
        <w:spacing w:after="0" w:line="266"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Ocugen’s intellectual property rights or may use its proprietary information in such a way as to invite litigation that could jeopardize or invalidate Ocugen’s intellectual property or proprietary information or expose it to potential litigation;</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Ocugen to litigation and potential liability; and</w:t>
      </w:r>
    </w:p>
    <w:p>
      <w:pPr>
        <w:spacing w:after="0" w:line="225" w:lineRule="exact"/>
        <w:rPr>
          <w:rFonts w:ascii="Times New Roman" w:cs="Times New Roman" w:eastAsia="Times New Roman" w:hAnsi="Times New Roman"/>
          <w:sz w:val="18"/>
          <w:szCs w:val="18"/>
          <w:color w:val="auto"/>
        </w:rPr>
      </w:pPr>
    </w:p>
    <w:p>
      <w:pPr>
        <w:ind w:left="1000" w:right="80" w:hanging="331"/>
        <w:spacing w:after="0" w:line="282" w:lineRule="auto"/>
        <w:tabs>
          <w:tab w:leader="none" w:pos="9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Ocugen could be required to raise additional capital to pursue further development or commercialization of the applicable product candidates.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Ocugen might enter into in the future do not result in the successful development and commercialization of product candidates or if one of Ocugen’s collaborators subsequently terminates its agreement with it, Ocugen may not receive any future research funding or milestone or royalty payments under the collaboration. If Ocugen does not receive the funding it expects under the agreements, its development of its product candidates could be delayed, and Ocugen may need additional resources to develop its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product candidates and its product platform. All of the risks relating to product development, regulatory approval and commercialization described in this report also apply to the activities of Ocugen’s collaborators.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Ocugen’s is involved in a business combination, the collaborator might deemphasize or terminate development or commercialization of any product candidate licensed to it by Ocugen. If one of Ocugen’s collaborators terminates its agreement with Ocugen, Ocugen may find it more difficult to attract new collaborators and its reputation in the business and financial communities could be adversely affected.</w:t>
      </w:r>
    </w:p>
    <w:p>
      <w:pPr>
        <w:spacing w:after="0" w:line="172"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Ocugen desire to pursue a collaboration agreement but is not able to establish collaborations, it may have to alter its development and commercialization plans and its business could be adversely affected.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some of Ocugen’s product candidates, Ocugen may decide to collaborate with pharmaceutical or biotechnology companies for the development and potential commercialization of those product candidates. Ocugen faces significant competition in seeking appropriate collaborators and whether it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Ocugen’s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Ocugen for its product candidate. Ocugen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Should Ocugen desire to pursue a collaboration agreement but is unable to reach agreements with suitable collaborators on a timely basis, on acceptable terms, or at all, it may have to curtail the development of a product candidate,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Ocugen elects to fund and undertake development or commercialization activities on its own, it may need to obtain additional expertise and additional capital, which may not be available to it on acceptable terms or at all. If Ocugen fails to enter into collaborations and does not have sufficient funds or expertise to undertake the necessary development and commercialization activities, it may not be able to further develop its product candidates or bring them to market or continue to develop its product platform and its business may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Ocugen fails to comply with federal and state healthcare laws, including fraud and abuse and health and other information privacy and security laws, it could face substantial penalties and its business, financial condition, results of operations, and prospects could be adversely affected.</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biologic and pharmaceutical company, Ocugen is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Ocugen may also be subject to laws regarding transparency and patient privacy. Even though Ocugen does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its business. Ocugen would be subject to healthcare fraud and abuse and patient privacy regulation by both the federal government and the states in which it conducts its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Efforts to ensure that Ocugen’s business arrangements with third parties will comply with applicable healthcare laws and regulations may involve substantial costs. It is possible that governmental authorities will conclude that Ocugen’s business practices may not comply with current or future statutes, regulations or case law involving applicable fraud and abuse or other healthcare laws and regulations. If Ocugen or its operations are found to be in violation of any federal or state healthcare law, or any other governmental laws or regulations that applies to it, Ocugen may be subject to penalties, including civil, criminal, and administrative penalties, damages, fines, imprisonment, disgorgement, suspension and debarment from government contracts, and refusal of orders under existing government contracts, exclusion from participation in U.S. federal or state health care programs, corporate integrity agreements, and the curtailment or restructuring of its operations, any of which could materially adversely affect its ability to operate its business and its financial results. If any of the physicians or other healthcare providers or entities with whom Ocugen expects to do business is found not to be in compliance with applicable laws, it may be subject to criminal, civil or administrative sanctions, including but not limited to, exclusions from participation in government healthcare programs, which could also materially affect its business.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Ocugen for violation of these laws, even if Ocugen successfully defends against it, could cause it to incur significant legal expenses and divert its management’s attention from the operation of its business.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is subject to new legislation, regulatory proposals and healthcare payor initiatives that may increase its costs of compliance, and adversely affect its ability to market its products, obtain collaborators, and raise capital.</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Ocugen’s product candidates, restrict or regulate post-approval activities and affect its ability to profitably sell any products for which it obtains marketing approval. The biopharmaceutical industry has been a particular focus of these efforts and has been significantly affected by legislative initiatives. Ocugen expects that current laws, as well as other healthcare reform measures that may be adopted in the future, may result in more rigorous coverage criteria and in additional downward pressure on the price that it may receive for any approved products.</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2010, the Patient Protection and Affordable Care Act, as amended by the Health Care and Education Affordability Reconciliation Act, or the ACA, included provisions of importance to Ocugen’s business, including, without limitation, its ability to commercialize and the prices it may obtain for any of its product candidates that are approved for sale. These provisions include:</w:t>
      </w:r>
    </w:p>
    <w:p>
      <w:pPr>
        <w:spacing w:after="0" w:line="176" w:lineRule="exact"/>
        <w:rPr>
          <w:sz w:val="20"/>
          <w:szCs w:val="20"/>
          <w:color w:val="auto"/>
        </w:rPr>
      </w:pPr>
    </w:p>
    <w:p>
      <w:pPr>
        <w:ind w:left="1000" w:right="400" w:hanging="331"/>
        <w:spacing w:after="0" w:line="282" w:lineRule="auto"/>
        <w:tabs>
          <w:tab w:leader="none" w:pos="9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including products approved through the 505(b)(2) regulatory pathway;</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sponsor must pay under the Medicaid Drug Rebate Program;</w:t>
      </w:r>
    </w:p>
    <w:p>
      <w:pPr>
        <w:spacing w:after="0" w:line="225" w:lineRule="exact"/>
        <w:rPr>
          <w:rFonts w:ascii="Times New Roman" w:cs="Times New Roman" w:eastAsia="Times New Roman" w:hAnsi="Times New Roman"/>
          <w:sz w:val="18"/>
          <w:szCs w:val="18"/>
          <w:color w:val="auto"/>
        </w:rPr>
      </w:pPr>
    </w:p>
    <w:p>
      <w:pPr>
        <w:ind w:left="1000" w:right="180" w:hanging="331"/>
        <w:spacing w:after="0" w:line="266" w:lineRule="auto"/>
        <w:tabs>
          <w:tab w:leader="none" w:pos="9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participating sponsors must agree to offer 50% point-of-sale discounts off negotiated drug prices of drugs and biologics approved under an NDA or BLA (including drugs approved pursuant to the 505(b)(2) regulatory pathway) during the coverage gap period as a condition for the sponsors’ outpatient drugs to be covered under Medicare Part D;</w:t>
      </w:r>
    </w:p>
    <w:p>
      <w:pPr>
        <w:spacing w:after="0" w:line="176" w:lineRule="exact"/>
        <w:rPr>
          <w:rFonts w:ascii="Times New Roman" w:cs="Times New Roman" w:eastAsia="Times New Roman" w:hAnsi="Times New Roman"/>
          <w:sz w:val="18"/>
          <w:szCs w:val="18"/>
          <w:color w:val="auto"/>
        </w:rPr>
      </w:pPr>
    </w:p>
    <w:p>
      <w:pPr>
        <w:ind w:left="1000" w:right="120" w:hanging="331"/>
        <w:spacing w:after="0" w:line="282" w:lineRule="auto"/>
        <w:tabs>
          <w:tab w:leader="none" w:pos="9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federal False Claims Act and the federal Anti-Kickback Statute, and the addition of new government investigative powers, and enhanced penalties for noncompliance;</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sponsor’s Medicaid rebate liability to managed Medicaid plans;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Acts or the PHSA, pharmaceutical pricing program; and</w:t>
      </w:r>
    </w:p>
    <w:p>
      <w:pPr>
        <w:spacing w:after="0" w:line="225" w:lineRule="exact"/>
        <w:rPr>
          <w:rFonts w:ascii="Times New Roman" w:cs="Times New Roman" w:eastAsia="Times New Roman" w:hAnsi="Times New Roman"/>
          <w:sz w:val="18"/>
          <w:szCs w:val="18"/>
          <w:color w:val="auto"/>
        </w:rPr>
      </w:pPr>
    </w:p>
    <w:p>
      <w:pPr>
        <w:ind w:left="1000" w:right="180" w:hanging="331"/>
        <w:spacing w:after="0" w:line="282" w:lineRule="auto"/>
        <w:tabs>
          <w:tab w:leader="none" w:pos="9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special Medicare Part B payment methodology for biosimilars approved under PHSA Section 351(k) in which providers are paid the ASP of the biosimilar plus the margin based on ASP of the reference biologic.</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ACA was recently amended to repeal the individual insurance mandate, and efforts to repeal and replace portions of the law may continue. It remains to be seen, however, whether new legislation will be enacted and, if so, precisely what any new legislation could provide and what impact it will have on the availability of healthcare and containing or lowering the cost of healthcare. For example, it is possible that any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Ocugen may successfully develop and for which it may obtain marketing approval and may affect its overall financial condition and ability to develop or commercialize product candidates. The timing and scope of any potential future legislation to repeal and replace ACA provisions is highly uncertain in many respects.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the ACA was enacted in 2010, other legislative and regulatory changes have been proposed and adopted. These changes include, among other things, aggregate reductions to Medicare payments to providers of up to 2% per fiscal year, which went effective on April 1, 2013 and will remain in effect through 2024 unless additional Congressional action is taken. More recently, the Bipartisan Budget Act increased sponsor responsibility for prescription costs in the Medicare Part D coverage gap, and also extended sponsor responsibility for prescription costs in the Medicare Part D coverage gap to biosimilars, which had previously been exempt. In addition, the American Taxpayer Relief Act of 2012, among other things, further reduced Medicare payments to several providers and increased the statute of limitations period for the government to recover overpayments to providers from three to five years. CMS promulgated regulations governing sponsors’ obligations and reimbursement under the Medicaid Drug Rebate Program, and recently promulgated a regulation that limited Medicare Part B payment to certain hospitals for outpatient drugs purchased under the 340B program. To the extent that Ocugen licenses the right to sell a product to another entity under that entity’s labeler code, the licensee would further have healthcare reimbursement and pricing regulatory responsibilities.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Ocugen expects that current law and federal and state healthcare reform measures that may be adopted in the future, may result in additional reductions in Medicare and other healthcare funding, more rigorous coverage criteria, increased regulatory burdens and operating costs, decreased net revenue from its biologic and pharmaceutical products, decreased potential returns from its development efforts, new payment methodologies and in additional downward pressure on the price that Ocugen receives for any approved product and/or the level of reimbursement physicians receive for administering any approved product it might bring to market. Reductions in reimbursement levels may negatively impact the prices Ocugen receives or the frequency with which any products it may develop are prescribed or administered. Any reduction in reimbursement from Medicare or other government healthcare programs may result in a similar reduction in payments from private payors. The implementation of cost containment measures or other healthcare reforms may prevent it from being able to generate revenue, attain profitability or commercialize its products.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costs of prescription pharmaceuticals and biologics in the United States has also been the subject of considerable discussion in the United States, and members of Congress and the Trump Administration have stated that they will address such costs through new legislative and administrative measures. The pricing of prescription pharmaceuticals and biologics is also subject to governmental control outside the United States. In certain countries, pricing negotiations with governmental authorities can take considerable time after the receipt of marketing approval for a product. To obtain reimbursement or pricing approval in some countries, Ocugen may be required to conduct a clinical trial that compares the cost-effectiveness of its product candidates to other available therapies. If reimbursement of its products is unavailable or limited in scope or amount, or if pricing is set at unsatisfactory levels, Ocugen’s ability to generate revenues and become profitable could be impaired.</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Ocugen cannot be sure whether additional legislative changes will be enacted, or whether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FDA regulations, guidance or interpretations will be changed, or what the impact of such changes on the marketing approvals of its product candidates, if any, may be. In addition, increased scrutiny by the U.S. Congress of the FDA’s approval process may significantly delay or prevent marketing approval, as well as subject Ocugen to more stringent product labeling and post-marketing testing and other requirements.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biologic and pharmaceutical industry. For instance, the Drug Quality and Security Act (the “DQSA”), imposes obligations on sponsors of biologic and pharmaceutical products related to product tracking and tracing. Among the requirements of this legislation, sponsors are required to provide certain information regarding the product to individuals and entities to which product ownership is transferred, will be required to label products with a product identifier, and are required keep certain records regarding the product. The transfer of information to subsequent product owners by manufacturers is also required to be done electronically. Sponsors are also required to verify that purchasers of the sponsors’ products are appropriately licensed. Further, manufacturers have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 Future licensees or affiliates may also have responsibilities under DQSA.</w:t>
      </w:r>
    </w:p>
    <w:p>
      <w:pPr>
        <w:spacing w:after="0" w:line="18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Ocugen’s operational expenses and impose significant administrative burdens. As a result of these and other new proposals, Ocugen may determine to change its current manner of operation, provide additional benefits or change its contract arrangements, any of which could have a material adverse effect on its business, financial condition, and results of operations.</w:t>
      </w:r>
    </w:p>
    <w:p>
      <w:pPr>
        <w:spacing w:after="0" w:line="172" w:lineRule="exact"/>
        <w:rPr>
          <w:sz w:val="20"/>
          <w:szCs w:val="20"/>
          <w:color w:val="auto"/>
        </w:rPr>
      </w:pPr>
    </w:p>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Ocugen’s employees, independent contractors, consultants, commercial partners, principal investigators, or CROs may engage in misconduct or other improper activities, including noncompliance with regulatory standards and requirements, which could have a material adverse effect on its business.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Ocugen is exposed to the risk of employee fraud or other misconduct. Misconduct by employees, independent contractors, consultants, commercial partners, manufacturers, investigators, or CROs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Ocugen. This misconduct could also involve the improper use or misrepresentation of information obtained in the course of clinical trials, which could result in regulatory sanctions and serious harm to Ocugen’s reputation. It is not always possible to identify and deter this type of misconduct, and the precautions Ocugen takes to detect and prevent this activity may not be effective in controlling unknown or unmanaged risks or losses or in protecting it from governmental investigations or other actions or lawsuits stemming from a failure to be in compliance with such laws or regulations. Moreover, it is possible for a whistleblower to pursue a False Claims Act case against Ocugen even if the government considers the claim unmeritorious and declines to intervene, which could require Ocugen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Ocugen, and it is not successful in defending itself or asserting its rights, those actions could have a significant impact on its business, financial condition, and results of operations, including the imposition of significant fines or other sanctions.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business and operations would suffer in the event of system failures.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Ocugen’s internal computer systems and those of its CROs and other contractors and consultants are vulnerable to damage from computer viruses, unauthorized access, natural disasters, terrorism, war, and telecommunication and electrical failures. If such an event were to occur and cause interruptions in its operations, it could result in a material disruption of its product candidate development and, if such product candidates are approved, commercialization programs. For example, the loss of clinical trial data from completed, ongoing or planned clinical trials could result in delays in its regulatory approval efforts and significantly increase its costs to recover or reproduce the data. To the extent that any disruption or security breach were to result in a loss of or damage to its data or applications,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inappropriate disclosure of personal, confidential or proprietary information, Ocugen could incur liability and regulatory enforcement actions, and the further development of any of its product candidates could be delayed.</w:t>
      </w:r>
    </w:p>
    <w:p>
      <w:pPr>
        <w:spacing w:after="0" w:line="15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Ocugen is subject to anti-corruption laws, as well as export control laws, customs laws, sanctions laws and other laws governing its operations. If it fails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its business, results of operations and financial condition.</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Ocugen’s operations are subject to anti-corruption laws, including the U.K. Bribery Act 2010 (the “Bribery Act”), the U.S. Foreign Corrupt Practices Act (the “FCPA”), and other anti-corruption laws that apply in countries where it does business and may do business in the future. The Bribery Act, FCPA and these other laws generally prohibit Ocugen,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Ocugen may in the future operate in jurisdictions that pose a high risk of potential Bribery Act or FCPA violations, and it may participate in collaborations and relationships with third parties whose actions could potentially subject it to liability under the Bribery Act, FCPA or local anti-corruption laws. In addition, Ocugen cannot predict the nature, scope or effect of future regulatory requirements to which its international operations might be subject or the manner in which existing laws might be administered or interpreted. If Ocugen expands its operations outside of the United States, it will need to dedicate additional resources to comply with numerous laws and regulations in each jurisdiction in which it plans to operate.</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Ocugen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Ocugen expands its presence outside of the United States, it will require Ocugen to dedicate additional resources to comply with these laws, and these laws may preclude Ocugen from developing, manufacturing, or selling certain products and product candidates outside of the United States, which could limit Ocugen’s growth potential and increase its development costs.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assurance that Ocugen will be completely effective in ensuring its compliance with all applicable anti-corruption laws, including the Bribery Act, the FCPA or other legal requirements, including Trade Control laws. If Ocugen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Ocugen’s reputation, its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Ocugen’s Intellectual Property</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may be unable to obtain and maintain patent protection for its technology and product candidates, or the scope of the patent protection obtained may not be sufficiently broad or enforceable, such that its competitors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could develop and commercialize technology and products similar or identical to Ocugen’s, and Ocugen’s ability to successfully commercialize its technology and product candidates may be impaired.</w:t>
      </w:r>
    </w:p>
    <w:p>
      <w:pPr>
        <w:spacing w:after="0" w:line="15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Ocugen’s success depends in large part on its ability to obtain and maintain patent protection in the United States and other countries with respect to its proprietary technology and product candidates. Ocugen has sought to protect its proprietary position by filing in the United States and in certain foreign jurisdictions patent applications related to its novel technologies and product candidates.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Ocugen may not have filed, maintained or prosecuted and may not be able to file, maintain and prosecute all necessary or desirable patents or patent applications at a reasonable cost or in a timely manner. Ocugen may also fail to identify patentable aspects of its research and development output before it is too late to obtain patent protection.</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As a result, the issuance, scope, validity, enforceability and commercial value of its patent rights are highly uncertain. Ocugen’s pending and future patent applications may fail to result in issued patents in the United States or in other foreign countries which protect its technology or product candidates, or which effectively prevent others from commercializing competitive technologies and products. In addition, the laws of foreign countries may not protect Ocugen’s rights to the same extent as the laws of the United States, and the standards applied by the USPTO and foreign patent offices in granting patents are not always applied uniformly or predictably. For example, unlike patent law in the United States, European patent law precludes the patentability of methods of treatment of the human body and imposes substantial restrictions on the scope of claims it will grant of broader than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Ocugen cannot be certain whether it or its licensors were the first to make the inventions claimed in its owned or licensed patents or pending patent applications, or that it or its licensors were the first to file for patent protection of such inventions. Databases for patents and publications, and methods for searching them, are inherently limited so Ocugen may not know the full scope of all issued and pending patent applications. As a result, the issuance, scope, validity, enforceability and commercial value of Ocugen’s patent rights are uncertain. Ocugen’s pending and future patent applications may not result in patents being issued which protect its technology or product candidates, in whole or in part, or which effectively prevent others from commercializing competitive technologies and products. In particular, during prosecution of any patent application, the issuance of any patents based on the application may depend upon Ocugen’s ability to generate additional preclinical or clinical data that support the patentability of its proposed claims. Ocugen may not be able to generate sufficient additional data on a timely basis, or at all. Moreover, changes in either the patent laws or interpretation of the patent laws in the United States and other countries may diminish the value of its patents or narrow the scope of its patent protection.</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Even if Ocugen’s owned and licensed patent applications issue as patents, they may not issue in a form that will provide Ocugen with any meaningful protection for its proprietary technology and product candidates, prevent competitors from competing with it, or otherwise provide it with any competitive advantage. Ocugen’s competitors may be able to circumvent its owned or licensed patents by developing similar or alternative technologies or products in a non-infringing manner. In particular, a competitor may develop an approach to deliver drugs through the mucus layer to the underlying target tissue that uses a different approach than Ocugen’s OcuNanoE™ nanoemulsion formulation, and therefore may not infringe on its patent rights.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Ocugen’s owned and licensed patents may be challenged in the courts or patent offices in the United States and abroad. Such challenges may result in loss of exclusivity or in patent claims being narrowed, invalidated or held unenforceable, in whole or in part, which could limit its ability to stop others from using or commercializing similar or identical technology and products, or limit the duration of the patent protection of its technology and product candidates. Given the amount of time required for the development, testing and regulatory review of new product candidates, patents protecting such candidates might expire before or shortly after such candidates are commercialized. As a result, Ocugen’s patent portfolio may not provide it with sufficient rights to exclude others from commercializing products similar or identical to Ocugen’s.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Ocugen’s patent applications and the enforcement or defense of its issued patents.</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 to file provisions, became effective on March 16, 2013. The first to file provisions limit the rights of an inventor to patent an invention if not the first to file an application for patenting that invention, even if such invention was the first invention. The Leahy-Smith Act and its implementation could increase the uncertainties and costs surrounding the prosecution of Ocugen’s patent applications and the enforcement or defense of its issued patents, which could have a material adverse effect on its business, financial condition, results of operations and prospects. For example, the Leahy-Smith Act created a new administrative tribunal known as the Patent Trial and Appeals Board, or PTAB, that provides a venue for companies to challenge the validity of competitor patents at a cost that is much lower than district court litigation and on timelines that are much faster. Although it is not clear what, if any, long term impact the PTAB proceedings will have on the operation of Ocugen’s business, the outcome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Ocugen’s own patents will be challenged, thereby increasing the uncertainties and costs of maintaining, defending and enforcing them.</w:t>
      </w:r>
    </w:p>
    <w:p>
      <w:pPr>
        <w:spacing w:after="0" w:line="185" w:lineRule="exact"/>
        <w:rPr>
          <w:sz w:val="20"/>
          <w:szCs w:val="20"/>
          <w:color w:val="auto"/>
        </w:rPr>
      </w:pPr>
    </w:p>
    <w:p>
      <w:pPr>
        <w:jc w:val="both"/>
        <w:ind w:right="8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Ocugen is not able to obtain patent term extension in the United States under the Hatch-Waxman Act and in foreign countries under similar legislation, thereby potentially extending the term of its marketing exclusivity for its product candidates, its business may be materially harmed.</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its product candidates, one of the U.S.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Ocugen’s product candidates. Nevertheless, Ocugen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Ocugen requests.</w:t>
      </w:r>
    </w:p>
    <w:p>
      <w:pPr>
        <w:spacing w:after="0" w:line="1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Ocugen is unable to obtain patent term extension or restoration, or the term of any such extension is less than it requests, the period during which it will have the right to exclusively market its product may be shortened and its competitors may obtain approval of competing products following its patent expiration sooner, and its revenue could be reduced, possibly materially.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possible that Ocugen will not obtain patent term extension under the Hatch-Waxman Act for a U.S. patent covering one of its product candidates even where that patent is eligible for patent term extension, or if Ocugen obtains such an extension, it may be for a shorter period than it had sought. Further, for Ocugen’s licensed patents, it does not have the right to control prosecution, including filing with the USPTO, a petition for patent term extension under the Hatch-Waxman Act. Thus, if one of Ocugen’s licensed patents is eligible for patent term extension under the Hatch-Waxman Act, it may not be able to control whether a petition to obtain a patent term extension is filed, or obtained, from the USPTO.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may become involved in lawsuits to protect or enforce its patents or other intellectual property, which could be expensive, time-consuming and unsuccessful.</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its owned and licensed patents, trade secrets, or other intellectual property. As a result, to counter infringement, misappropriation or unauthorized use, Ocugen may be required to file infringement or misappropriation claims or other intellectual property related proceedings, which can be expensive and time-consuming. Any claims Ocugen asserts against perceived infringers could provoke such parties to assert counterclaims against it alleging that it infringes their patents or that its asserted patents are invalid. In addition, in a patent infringement or other intellectual property related proceeding, a court may decide that a patent of Ocugen’s is invalid or unenforceable, in whole or in part, construe the patent’s claims narrowly or refuse to stop the other party from using the technology at issue on the grounds that Ocugen’s patents do not cover the technology in question. An adverse result in any litigation proceeding could put one or more of Ocugen’s patents at risk of being invalidated, held unenforceable or interpreted narrowly, and could put any of its patent applications at risk of not yielding an issued patent. Furthermore, because of the substantial amount of discovery required in connection with intellectual property litigation, there is a risk that some of Ocugen’s confidential information or trade secrets could be compromised by disclosure during this type of litigation.</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Ocugen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its patent rights or the patent rights of others. An adverse determination in any such submission, proceeding or litigation could reduce the scope of, or invalidate, Ocugen’s patent rights, allow third parties to commercialize its technology or product candidates and compete directly with it, without payment to it, or result in Ocugen’s inability to manufacture or commercialize products without infringing third-party patent rights. In addition, if the breadth or strength of protection provided by Ocugen’s patents and patent applications is threatened, it could dissuade companies from collaborating with it to license, develop or commercialize current or future product candidates.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the United States, the FDA does not prohibit clinicians from prescribing an approved product for uses that are not described in the product’s labeling. Although use of a product directed by off-label prescriptions may infringe Ocugen’s method-of-treatment patents, the practice is common across medical specialties, particularly in the United States, and such infringement is difficult to detect, prevent or prosecute.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Ocugen is infringing, misappropriating or otherwise violating their intellectual property rights, the outcome of which would be uncertain and could have a material adverse effect on the success of Ocugen’s business.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Ocugen’s commercial success depends upon its ability to develop, manufacture, market and sell OCU300, and other product candidates and use its proprietary technologies without infringing, misappropriating or otherwise violating the intellectual property and other proprietary rights of third parties. There is a considerable amount of intellectual property litigation in the biotechnology and pharmaceutical industries. Ocugen may become party to, or threatened with, infringement litigation claims regarding its products and technology, including claims from competitors or from non-practicing entities that have no relevant product revenue and against whom its own patent portfolio may have no deterrent effect. Moreover, Ocugen may become party to future adversarial proceedings or litigation regarding its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even lawsuits or proceedings with a low probability of success might be initiated and require significant resources to defend. Litigation and contested proceedings can also be expensive and time-consuming, and Ocugen’s adversaries in these proceedings may have the ability to dedicate substantially greater resources to prosecuting these legal actions than Ocugen does. The risks of being involved in such litigation and proceedings may increase as Ocugen’s product candidates near commercialization and as it gains the greater visibility associated with being a public company. Third parties may assert infringement claims against it based on existing patents or patents that may be granted in the future. Ocugen may not be aware of all such intellectual property rights potentially relating to its product candidates and their uses.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Thus, it does not know with certainty that OCU300 or any of its other product candidates, or its development and commercialization thereof, do not and will not infringe or otherwise violate any third party’s intellectual property.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Ocugen is found to infringe, misappropriate or otherwise violate a third party’s intellectual property rights, it could be required to obtain a license from such third party to continue developing and marketing its products and technology. However, Ocugen may not be able to obtain any required license on commercially reasonable terms or at all. Even if Ocugen was able to obtain a license, it could be non-exclusive, thereby giving its competitors access to the same technologies licensed to it and could require it to make substantial licensing and royalty payments. Ocugen could be forced, including by court order, to cease commercializing the infringing technology or product. In addition, it could be found liable for monetary damages, including treble damages and attorneys’ fees if it is found to have willfully infringed a patent, and could be forced to indemnify its customers or collaborators. A finding of infringement could also result in an injunction that prevents Ocugen from commercializing its product candidates or forces it to cease some of its business operations, which could materially harm its business. In addition, Ocugen may be forced to redesign its product candidates, seek new regulatory approvals and indemnify third parties pursuant to contractual agreements. Claims that Ocugen has misappropriated the confidential information or trade secrets of third parties could have a similar negative impact on its business.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Ocugen’s patent protection could be reduced or eliminated for non-compliance with these requirements.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on any issued patent must be paid to the USPTO and foreign patent agencies in several stages or annually over the lifetime of Ocugen’s owned and licensed patents and patent applications. The USPTO and various foreign governmental patent agencies require compliance with a number of procedural, documentary, fee payment and other similar provisions during the patent application process. In certain circumstances, Ocugen relies on its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Ocugen or its licensors fail to maintain the patents and patent applications covering its product candidates, it would have a material adverse effect on its business.</w:t>
      </w:r>
    </w:p>
    <w:p>
      <w:pPr>
        <w:spacing w:after="0" w:line="18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Certain aspects of OCU300 and Ocugen’s other product candidates, and certain aspects of its OcuNanoE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i w:val="1"/>
          <w:iCs w:val="1"/>
          <w:color w:val="auto"/>
        </w:rPr>
        <w:t xml:space="preserve"> nanoemulsion formulation, are protected by patents exclusively licensed from other companies or institutions. If these third parties terminate their agreements with Ocugen or fail to maintain or enforce the underlying patents, or Ocugen otherwise loses its rights to these patents, its competitive position and its market share in the markets for any of its approved products will be harmed.</w:t>
      </w:r>
    </w:p>
    <w:p>
      <w:pPr>
        <w:spacing w:after="0" w:line="199"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8"/>
          <w:szCs w:val="18"/>
          <w:color w:val="auto"/>
        </w:rPr>
        <w:t>A substantial portion of Ocugen’s patent portfolio is in-licensed. As such, Ocugen is a party to license agreements and certain aspects of its business depend on patents and/or patent applications owned by other companies or institutions. In particular, Ocugen holds exclusive licenses for patent families relating to OCU300, other of its product candidates, and some aspects of its OcuNanoE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nanoemulsion formulation.</w:t>
      </w:r>
    </w:p>
    <w:p>
      <w:pPr>
        <w:spacing w:after="0" w:line="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Ocugen’s license arrangement with University of Illinois at Chicago (“UIC”), which relates to OCU300, Ocugen is responsible for and control patent prosecution of licensed patent families developed jointly pursuant to the license arrangement with UIC, while Ocugen and UIC are each responsible for and control patent prosecution of licensed patent families developed or held individually by Ocugen or UIC, respectively.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Ocugen’s license arrangement with University of Colorado (“CU”), which relates to OCU200 and OCU100, Ocugen is responsible for and control patent prosecution of all patent families licensed under the CU license arrangement.</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Pursuant to Ocugen’s license arrangement with The Schepens Eye Research Institute (“SERI”), which relates to nuclear hormone receptor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NR2E3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RORA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NUPR1</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NR2C1</w:t>
      </w:r>
      <w:r>
        <w:rPr>
          <w:rFonts w:ascii="Times New Roman" w:cs="Times New Roman" w:eastAsia="Times New Roman" w:hAnsi="Times New Roman"/>
          <w:sz w:val="18"/>
          <w:szCs w:val="18"/>
          <w:color w:val="auto"/>
        </w:rPr>
        <w:t>, from and after December 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2017, Ocugen has the right to assume responsibility and control patent prosecution of licensed patent families relating to these NHR genes. Additionally, Ocugen is responsible for and control patent prosecution for any patent applications developed in connection with the SERI licensing arrangement filed after December 19, 2017 that are owned jointly by Ocugen and SERI or solely by Ocugen.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Ocugen’s rights with respect to in-licensed patents and patent applications may be lost if the applicable license agreement expires or is terminated. Ocugen is likely to enter into additional license agreements to in-license patents and patent applications as part of the development of its business in the future, under which it may not retain control of the preparation, filing, prosecution, maintenance, enforcement and defense of such patents. If Ocugen is unable to maintain these patent rights for any reason, its ability to develop and commercialize its product candidates could be materially harmed.</w:t>
      </w:r>
    </w:p>
    <w:p>
      <w:pPr>
        <w:spacing w:after="0" w:line="1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Ocugen’s licensors may not successfully prosecute certain patent applications, the prosecution of which they control, under which Ocugen is licensed and on which its business depends. Even if patents issue from these applications, Ocugen’s licensors may fail to maintain these patents, may decide not to pursue litigation against third-party infringers, may fail to prove infringement, or may fail to defend against counterclaims of patent invalidity or unenforceability.</w:t>
      </w:r>
    </w:p>
    <w:p>
      <w:pPr>
        <w:spacing w:after="0" w:line="15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Ocugen has obtained intellectual property rights may also arise out of circumstances beyond Ocugen’s control. In spite of Ocugen’s best efforts, its licensors might conclude that it has materially breached its intellectual property agreements and might therefore terminate the intellectual property agreements, thereby removing its ability to market products covered by these intellectual property agreements. If Ocugen’s intellectual property agreements are terminated, or if the underlying patents fail to provide the intended market exclusivity, competitors would have the freedom to seek regulatory approval of, and to market, products similar or identical to Ocugen’s. Moreover, if its intellectual property agreements are terminated, Ocugen’s former licensors and/or assignors may be able to prevent it from utilizing the technology covered by the licensed or assigned patents and patent applications. This could have a material adverse effect on Ocugen’s competitive business position and its business prospects.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Ocugen owns or has licensed may have been discovered through government funded programs and thus may be subject to federal regulations such as “march-in” rights, certain reporting requirements, and a preference for U.S. industry. Compliance with such regulations may limit Ocugen’s exclusive rights, subject it to expenditure of resources with respect to reporting requirements, and limit its ability to contract with non-U.S. manufacturers.</w:t>
      </w:r>
    </w:p>
    <w:p>
      <w:pPr>
        <w:spacing w:after="0" w:line="1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Some of the intellectual property rights that Ocugen owns or licenses have been generated through the use of United States government funding and may therefore be subject to certain federal regulations under the Bayh-Dole Act. To the best of Ocugen’s knowledge, Ocugen’s intellectual property for OCU400 for the treatment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mutation-associated retinal degenerative disease is subject to the Bayh-Dole Act. As a result, the United States government may have certain rights to intellectual property embodied in these patents and patent applications. In general, the Bayh-Dole Act provides the U.S. government certain rights in inventions developed using a government funded program, such as U.S. government’s right to a non-exclusive, non-transferable, irrevocable worldwide license to use inventions for any governmental purpose. In addition, under the Bayh-Dole Act the U.S. government has the right to require any invention developed using U.S.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Under the Bayh-Dole Act, the U.S. government also has the right to take title to inventions developed using a U.S. government funded program, if one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manufacture is not commercially feasible. Any exercise by the government of any of the foregoing rights under the Bayh-Dole Act may affect Ocugen’s competitive position, business, financial condition, results of operations and prospects.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Ocugen fails to comply with its obligations in its intellectual property licenses and funding arrangements with third parties, it could lose rights that are important to its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Ocugen’s license agreements with CU, UIC, and SERI under which Ocugen licenses certain of its patent rights and a significant portion of the technology for OCU300, OCU310, and other product candidates, impose royalty and other financial obligations on it and other substantial performance obligations. Ocugen may also enter into additional licensing and funding arrangements with third parties that may impose diligence, development and commercialization timelines and milestone payment, royalty, insurance and other obligations on it. If Ocugen fails to comply with its obligations under current or future license and collaboration agreements, its counterparties may have the right to terminate these agreements, in which event Ocugen might not be able to develop, manufacture or market any product that is covered by these agreements or may face other penalties under the agreements. Such an occurrence could diminish the value of Ocugen’s products and product candidates. Termination of these agreements or reduction or elimination of Ocugen’s rights under these agreements may result in Ocugen having to negotiate new or reinstated agreements with less favorable terms or cause it to lose its rights under these agreements, including its rights to important intellectual property or technology.</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it is possible that CU, UIC or SERI may conclude that Ocugen has materially breached the applicable license agreement and might therefore terminate the agreement, thereby removing its ability to market products covered by its license agreements with CU, UIC, or SERI, respectively. If any license agreement is terminated, or if the underlying patents fail to provide the intended market exclusivity, competitors would have the freedom to seek regulatory approval of, and to market, products similar or identical to Ocugen’s. Moreover, if any of Ocugen’s license agreements is terminated, the counterparty and/or its assignors may be able to prevent it from utilizing the technology covered by the licensed or assigned patents and patent applications. This could have a material adverse effect on Ocugen’s competitive business position and its business prospects.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Ocugen currently licenses intellectual property or technology from third parties are complex, and certain provisions in such agreements may be susceptible to multiple interpretations. The resolution of any contract interpretation disagreement that may arise could narrow what Ocugen believes to be the scope of its rights to the relevant intellectual property or technology or increase what Ocugen believes to be its financial or other obligations under the relevant agreement, either of which could have a material adverse effect on its business, financial condition, results of operations, and prospects. Moreover, if disputes over intellectual property that Ocugen has licensed prevent or impair its ability to maintain its current licensing arrangements on commercially acceptable terms, Ocugen may be unable to successfully develop and commercialize the affected product candidates, which could have a material adverse effect on its business, financial conditions,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 may not be able to protect its intellectual property and proprietary rights throughout the world.</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Ocugen’s rights to the same extent as the laws of the United States. Consequently, Ocugen may not be able to prevent third parties from practicing its inventions in all countries outside the United States, or from selling or importing products made using its inventions in and into the United States or other jurisdictions. Competitors may use Ocugen’s technologies in jurisdictions where it has not obtained patent protection to develop their own products and, further, may export otherwise infringing products to territories where Ocugen has patent protection or licenses, but enforcement is not as strong as that in the United States. These products may compete with Ocugen’s products, and its patents or other intellectual property rights may not be effective or sufficient to prevent them from competing.</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Ocugen to stop the infringement of its patents or marketing of competing products in violation of Ocugen’s intellectual property and proprietary rights generally. Proceedings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enforce its intellectual property and proprietary rights in foreign jurisdictions could result in substantial costs and divert its efforts and attention from other aspects of its business, could put its patents at risk of being invalidated or interpreted narrowly, could put its patent applications at risk of not issuing, and could provoke third parties to assert claims against it. Ocugen may not prevail in any lawsuits that it initiates, and the damages or other remedies awarded, if any, may not be commercially meaningful. Accordingly, Ocugen’s efforts to enforce its intellectual property and proprietary rights around the world may be inadequate to obtain a significant commercial advantage from the intellectual property that it develops or licenses.</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Ocugen or any of its licensors is forced to grant a license to third parties with respect to any patents relevant to its business, its competitive position may be impaired, and its business, financial condition, results of operations, and prospects may be adversely affected.</w:t>
      </w:r>
    </w:p>
    <w:p>
      <w:pPr>
        <w:spacing w:after="0" w:line="1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may be subject to claims by third parties asserting that its employees or it has misappropriated their intellectual property or claiming ownership of what Ocugen regards as its own intellectual property.</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of Ocugen’s and its licensors’ employees and contractors were previously employed at other biotechnology, medical device or pharmaceutical companies, including its competitors or potential competitors. Although Ocugen tries to ensure that its employees and contractors do not use the proprietary information or know-how of others in their work for it, Ocugen may be subject to claims that these individuals or it has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addition, while it is Ocugen’s policy to require its employees and contractors who may be involved in the development of intellectual property to execute agreements assigning such intellectual property to it, Ocugen may be unsuccessful in executing such an agreement with each party who in fact develops intellectual property that it regards as its own. Furthermore, Ocugen is unable to control whether its licensors have obtained similar assignment agreements from their own employees and contractors. Ocugen’s and their assignment agreements may not be self-executing or may be breached, and Ocugen or its licensors may be forced to bring claims against third parties, or defend claims they may bring against Ocugen, to determine the ownership of what Ocugen regards as its intellectual property.</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Ocugen or its licensors fail in prosecuting or defending any such claims, in addition to paying monetary damages, Ocugen may lose valuable intellectual property rights or personnel which could have a material adverse effect on its competitive business position and prospects. Such intellectual property rights could be awarded to a third party, and Ocugen could be required to obtain a license from such third party to commercialize its technology or products, which may not be available on commercially reasonable terms or at all. Even if Ocugen is successful in prosecuting or defending against such claims, litigation could result in substantial costs and be a distraction to management.</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Ocugen to spend substantial resources and distract its personnel from their normal responsibilities.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resolved in Ocugen’s favor, litigation or other legal proceedings relating to intellectual property claims may cause it to incur significant expenses and could distract Ocugen’s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Ocugen common stock. Such litigation or proceedings could substantially increase Ocugen’s operating losses and reduce the resources available for development activities or any future sales, marketing or distribution activities. Ocugen may not have sufficient financial or other resources to conduct such litigation or proceedings adequately. Some of Ocugen’s competitors may be able to sustain the costs of such litigation or proceedings more effectively than Ocugen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Ocugen’s ability to compete in the marketplace.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Ocugen is unable to protect the confidentiality of its trade secrets, its business and competitive position would be harmed.</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Ocugen’s technology and product candidates, Ocugen also relies on trade secrets, including unpatented know-how, technology and other proprietary information, to maintain its competitive position. Ocugen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Ocugen also enters into confidentiality and invention or patent assignment agreements with its employees and consultants. Despite these efforts, any of these parties may breach the agreements and disclose Ocugen’s proprietary information, including its trade secrets, and Ocugen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Ocugen’s trade secrets were to be lawfully obtained or independently developed by a competitor, Ocugen would have no right to prevent them, or those to whom they communicate it, from using that technology or information to compete with Ocugen. If any of Ocugen’s trade secrets were to be disclosed to or independently developed by a competitor, its competitive position would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future success depends on its ability to retain key executives and to attract, retain and motivate qualified personnel.</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Ocugen is highly dependent on the research and development, clinical and business development expertise of Shankar Musunuri, Ph.D., MBA, its Chief Executive Officer, Chairman of the Board and Co-Founder, Daniel Jorgensen, M.D., M.P.H., MBA, its Chief Medical Officer, and Rasappa Arumugham, Ph.D., its Chief Scientific Officer, as well as the other principal members of its management, scientific and clinical team. Although Ocugen has entered into employment agreements with its executive officers, each of them may terminate their employment with Ocugen at any time. Ocugen does not maintain “key person” insurance for any of its executives or other employees.</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legal and sales and marketing personnel will also be critical to Ocugen’s success. The loss of the services of Ocugen’s executive officers or other key employees could impede the achievement of its research, development and commercialization objectives and seriously harm its ability to successfully implement its business strategy. Furthermore, replacing executive officers and key employees may be difficult and may take an extended period of time because of the limited number of individuals in its industry with the breadth of skills and experience required to successfully develop, gain regulatory approval of and commercialize products. Competition to hire from this limited pool is intense, and Ocugen may be unable to hire, train, retain or motivate these key personnel on acceptable terms given the competition among numerous pharmaceutical and biotechnology companies for similar personnel. Ocugen also experiences competition for the hiring of scientific and clinical personnel from universities and research institutions. In addition, Ocugen relies on consultants and advisors, including scientific and clinical advisors, to assist Ocugen in formulating its research and development and commercialization strategy. Ocugen’s consultants and advisors may be employed by employers other than it and may have commitments under consulting or advisory contracts with other entities that may limit their availability to Ocugen. If Ocugen unable to continue to attract and retain high quality personnel, its ability to pursue its growth strategy will be limited.</w:t>
      </w:r>
    </w:p>
    <w:p>
      <w:pPr>
        <w:spacing w:after="0" w:line="1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expects to expand its development, regulatory and manufacturing capabilities and potentially implement sales, marketing and distribution capabilities, and as a result, Ocugen may encounter difficulties in managing its growth, which could disrupt its operations.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Ocugen expects to experience significant growth in the number of its employees and the scope of its operations, particularly in the areas of drug development, clinical, regulatory affairs, manufacturing, sales, marketing and distribution. To manage its anticipated future growth, Ocugen must continue to implement and improve its managerial, operational and financial systems, expand its facilities and continue to recruit and train additional qualified personnel. Due to Ocugen’s limited financial resources and its limited experience in managing such</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anticipated growth, it may not be able to effectively manage the expansion of its operations or recruit and train additional qualified personnel. The expansion of Ocugen’s operations may lead to significant costs and may divert its management and business development resources. Any inability to manage growth could delay the execution of its business plans or disrupt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Ocugen Common Stock</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the Ocugen’s Common Stock could be highly volatile, and purchasers of the Common Stock could incur substantial losses.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Ocugen’s stock price has been, and will likely continue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Ocugen’s common stock may be influenced by those factors discussed in this “Risk Factors” section and many others, including:</w:t>
      </w:r>
    </w:p>
    <w:p>
      <w:pPr>
        <w:spacing w:after="0" w:line="180" w:lineRule="exact"/>
        <w:rPr>
          <w:sz w:val="20"/>
          <w:szCs w:val="20"/>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Ocugen’s ability to enroll subjects in its ongoing and planned clinical trials;</w:t>
      </w:r>
    </w:p>
    <w:p>
      <w:pPr>
        <w:spacing w:after="0" w:line="225" w:lineRule="exact"/>
        <w:rPr>
          <w:rFonts w:ascii="Times New Roman" w:cs="Times New Roman" w:eastAsia="Times New Roman" w:hAnsi="Times New Roman"/>
          <w:sz w:val="18"/>
          <w:szCs w:val="18"/>
          <w:color w:val="auto"/>
        </w:rPr>
      </w:pPr>
    </w:p>
    <w:p>
      <w:pPr>
        <w:ind w:left="1000" w:right="540" w:hanging="331"/>
        <w:spacing w:after="0" w:line="282" w:lineRule="auto"/>
        <w:tabs>
          <w:tab w:leader="none" w:pos="9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Ocugen’s clinical trials and preclinical studies, and the results of trials of Ocugen’s competitors or those of other companies in Ocugen’s market sector;</w:t>
      </w:r>
    </w:p>
    <w:p>
      <w:pPr>
        <w:spacing w:after="0" w:line="161" w:lineRule="exact"/>
        <w:rPr>
          <w:rFonts w:ascii="Times New Roman" w:cs="Times New Roman" w:eastAsia="Times New Roman" w:hAnsi="Times New Roman"/>
          <w:sz w:val="18"/>
          <w:szCs w:val="18"/>
          <w:color w:val="auto"/>
        </w:rPr>
      </w:pPr>
    </w:p>
    <w:p>
      <w:pPr>
        <w:ind w:left="1000" w:right="100" w:hanging="331"/>
        <w:spacing w:after="0" w:line="282" w:lineRule="auto"/>
        <w:tabs>
          <w:tab w:leader="none" w:pos="9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Ocugen’s product candidates, or limitations to specific label indications or patient populations for its use, or changes or delays in the regulatory review process;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U.S. healthcare system;</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Ocugen’s efforts to acquire, license or develop additional product candidates;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Ocugen or its competitors;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Ocugen or its competitors of significant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Ocugen’s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Ocugen’s financial results or those of companies that are perceived to be similar to Ocugen;</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Ocugen’s common stock;</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Ocugen’s stock by insiders and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60" w:hanging="291"/>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Ocugen’s control;</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Ocugen.</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Ocugen, could cause Ocugen to incur substantial costs and divert management’s attention and resources, which could have a material adverse effect on Ocugen’s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Ocugen’s failure to meet the continued listing requirements of the Nasdaq could result in a delisting of the Common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Ocugen fails to satisfy the continued listing requirements of the Nasdaq, such as the corporate governance requirements or the minimum closing bid price requirement, Nasdaq may take steps to delist the common stock. Such a delisting would likely have a negative effect on the price of Ocugen’s common stock and would impair your ability to sell or purchase shares of common Stock when you wish to do so. In the event of a delisting, Ocugen can provide no assurance that any action taken by Ocugen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Ocugen’s executive officers, directors and principal stockholders, if they choose to act together, may control or significantly influence all matters submitted to stockholders for approval.</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Ocugen’s executive officers, directors and greater than 5% stockholders own, in the aggregate, approximately 66.0% of Ocugen’s outstanding common stock (assuming no exercise of outstanding options) as of September 30, 2019. As a result, such persons or their appointees to the Company’s Board of Directors, acting together, will have the ability to control or significantly influence all matters submitted to the Board of Directors or stockholders for approval, including the appointment of management, the election and removal of directors and approval of any significant transaction, as well as the Company’s management and business affairs. This concentration of ownership may have the effect of delaying, deferring or preventing a change in control, impeding a merger, consolidation, takeover or other business combination involving the Company, or discouraging a potential acquiror from making a tender offer or otherwise attempting to obtain control of the Company’s business, even if such a transaction would benefit other stockholders.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does not currently intend to pay dividends on its common stock, and, consequently, your ability to achieve a return on your investment will depend on appreciation, if any, in the price of Ocugen’s common stock.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Ocugen has never declared or paid any cash dividend on the common stock. Ocugen currently anticipates that it will retain future earnings for the development, operation and expansion of its business and does not anticipate declaring or paying any cash dividends for the foreseeable future. In addition, the terms of any future debt agreements may preclude Ocugen from paying dividends. Any return to stockholders will therefore be limited to the appreciation of their stock. There is no guarantee that the common stock will appreciate in value or even maintain the price at which stockholders have purchased their shares.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Ocugen has a total of 10,013,605 shares of common stock outstanding as of September 30, 2019. Of these shares, only 3.8 million shares of common stock were freely tradable, without restriction, in the public market as of September 30, 2019, unless they had been purchased by one of Ocugen’s affiliates.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Ocugen’s directors and executive officers and holders of approximately 40.0% of Ocugen’s outstanding shares of common stock have entered into lock up agreements with Ocugen pursuant to which they may not, with limited exceptions, for a period of 180 days from the date of the effective time of the Merger, offer, sell or otherwise transfer</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 dispose of any of Ocugen’s securities, without prior written consent of Ocugen, subject to certain exceptions. Sale of these shares, or perceptions that they will be sold, could cause the trading price of Ocugen’s common stock to decline. After the lock up agreements expire, up to an additional 6.2 million shares of common stock outstanding as of September 30, 2019 will be eligible for sale in the public market.</w:t>
      </w:r>
    </w:p>
    <w:p>
      <w:pPr>
        <w:spacing w:after="0" w:line="17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Additionally, in connection with the Pre-Merger Financing, Ocugen has entered into lock-up agreements with each officer, director or other person that was subject to Section 16 of the Exchange Act immediately following the consummation of the Merger, and each holder of greater than 3% of Ocugen common stock (excluding the shares of Ocugen common stock issuable pursuant to the Financing SPA) immediately prior to the consummation of the Merger (the “Financing Lock-Up Parties”), pursuant to which each of the Financing Lock-Up Parties agreed that until the date that is 30 calendar days after the certain trigger dates specified in the Financing SPA, subject to certain customary exceptions, such Financing Lock-Up Party will not and will cause its affiliates not to (i) offer, pledge, sell, contract to sell, sell any option or contract to purchase, purchase any option or contract to sell, grant any option, right or warrant to purchase, make any short sale or otherwise transfer or dispose of or lend, directly or indirectly, any shares of Ocugen common stock or any securities convertible into, exercisable or exchangeable for or that represent the right to receive Ocugen common stock, (ii) enter into any swap or other arrangement that transfers to another, in whole or in part, any of the economic consequences of ownership of any of the Financing Lock-Up Party’s shares of Ocugen common stock or such other securities, in cash or otherwise, (iii) make any demand for or exercise any right or cause to be filed a registration statement, including any amendments thereto, with respect to the registration of any shares of Ocugen common stock or such other securities, in cash or otherwise,</w:t>
      </w:r>
    </w:p>
    <w:p>
      <w:pPr>
        <w:spacing w:after="0" w:line="3" w:lineRule="exact"/>
        <w:rPr>
          <w:sz w:val="20"/>
          <w:szCs w:val="20"/>
          <w:color w:val="auto"/>
        </w:rPr>
      </w:pPr>
    </w:p>
    <w:p>
      <w:pPr>
        <w:ind w:right="20" w:firstLine="8"/>
        <w:spacing w:after="0" w:line="255" w:lineRule="auto"/>
        <w:tabs>
          <w:tab w:leader="none" w:pos="3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proxies or powers of attorney with respect to any shares of Ocugen common stock or such other securities, deposit any shares of Ocugen common stock or such other securities into a voting trust or enter into a voting agreement or similar arrangement or commitment with respect to any shares of Ocugen common stock or such other securities, or (v) publicly disclose the intention to do any of the foregoing.</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holders of 4,018,786 shares of Ocugen’s outstanding common stock, or approximately 40.0% of Ocugen’s total outstanding common stock as of September 30, 2019, are entitled to rights with respect to the registration of their shares under the Securities Act, subject to vesting and the 180-day lock-up agreements described above. Registration of these shares under the Securities Act results in the shares becoming freely tradable without restriction under the Securities Act, except for shares held by affiliates, as defined in Rule 144 under the Securities Act. Any sales of securities by these stockholders could have a material adverse effect on the trading price of Ocugen’s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common stock by Ocugen’s stockholders in the public market could cause Ocugen’s stock price to fall.</w:t>
      </w:r>
    </w:p>
    <w:p>
      <w:pPr>
        <w:spacing w:after="0" w:line="229"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7"/>
          <w:szCs w:val="17"/>
          <w:color w:val="auto"/>
        </w:rPr>
        <w:t>Sales of a substantial number of shares of Ocugen’s common stock in the public market or the perception that these sales might occur could significantly reduce the market price of the common stock and impair Ocugen’s ability to raise adequate capital through the sale of additional equity securities.</w:t>
      </w:r>
    </w:p>
    <w:p>
      <w:pPr>
        <w:spacing w:after="0" w:line="1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 will incur significant increased costs as a result of operating as a public company, and its management will be required to devote substantial time to new compliance initiatives.</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Ocugen began operating as a public company as a result of the Merger. As a public company, Ocugen will incur significant legal, accounting and other expenses that Ocugen did not incur as a private company prior to the Merger. Ocugen is subject to the reporting requirements of the Exchange Act, which require, among other things, that Ocugen files with the U.S. Securities and Exchange Commission (the “SEC”) annual, quarterly and current reports with respect to Ocugen’s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Ocugen when it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Ocugen operates its business in ways Ocugen cannot currently anticipate.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Ocugen expects the rules and regulations applicable to public companies to substantially increase Ocugen’s legal and financial compliance costs and to make some activities more time consuming and costly. If these requirements divert the attention of Ocugen’s management and personnel from other business concerns, they could have a material adverse effect on Ocugen’s business, financial condition and results of operations. The increased costs will increase Ocugen’s net loss, and may require Ocugen to reduce costs in other areas of its business or increase the prices of its products or services. For example, Ocugen expects these rules and regulations to make it more difficult and more expensive for Ocugen to obtain director and officer liability insurance, and Ocugen may be required to incur substantial costs to maintain the same or similar coverage. Ocugen cannot predict or estimate the amount or timing of additional costs Ocugen may incur to respond to these requirements. The impact of these requirements could also make it more difficult for Ocugen to attract and retain qualified persons to serve on its board of directors, its board committees or as executive officers.</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Ocugen’s business, Ocugen’s stock price and trading volume could decline.</w:t>
      </w:r>
    </w:p>
    <w:p>
      <w:pPr>
        <w:spacing w:after="0" w:line="15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trading market for Ocugen’s common stock depends in part on the research and reports that securities or industry analysts publish about Ocugen, its business, its market or its competitors. Ocugen does not currently have and may never obtain research coverage by securities and industry analysts. If no securities or industry analysts commence coverage of Ocugen, the trading price for Ocugen’s stock would be negatively impacted. In the event Ocugen obtains securities or industry analyst coverage, if one or more of the analysts who covers Ocugen downgrades its stock, Ocugen’s stock price would likely decline. If one or more of these analysts ceases to cover Ocugen or fails to regularly publish reports on Ocugen, interest in Ocugen’s stock could decrease, which could cause Ocugen’s stock price or trading volume to decline.</w:t>
      </w:r>
    </w:p>
    <w:p>
      <w:pPr>
        <w:spacing w:after="0" w:line="18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Ocugen fails to maintain proper and effective internal control over financial reporting, Ocugen’s ability to produce accurate and timely financial statements could be impaired, investors may lose confidence in Ocugen’s financial reporting and the trading price of Ocugen’s common stock may decline.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Section 404 of Sarbanes-Oxley, Ocugen’s management will be required to report upon the effectiveness of Ocugen’s internal control over financial reporting beginning with the annual report for Ocugen’s fiscal year ending December 31, 2019. Additionally, if Ocugen reaches an accelerated filer threshold, Ocugen’s independent registered public accounting firm will be required to attest to the effectiveness of Ocugen’s internal control over financial reporting. The rules governing the standards that must be met for management to assess Ocugen’s internal control over financial reporting are complex and require significant documentation, testing and possible remediation. To comply with the requirements of being a reporting company under the Exchange Act, Ocugen will need to upgrade its information technology systems; implement additional financial and management controls, reporting systems and procedures; and hire additional accounting and finance staff. If Ocugen or, if required, its auditors are unable to conclude that Ocugen’s internal control over financial reporting is effective, investors may lose confidence in Ocugen’s financial reporting and the trading price of Ocugen’s common stock may decline.</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Ocugen cannot assure you that there will not be material weaknesses or significant deficiencies in Ocugen’s internal control over financial reporting in the future. Any failure to maintain internal control over financial reporting could severely inhibit Ocugen’s ability to accurately report its financial condition, results of operations or cash flows. If Ocugen is unable to conclude that its internal control over financial reporting is effective, or if Ocugen’s independent registered public accounting firm determines Ocugen has a material weakness or significant deficiency in Ocugen’s internal control over financial reporting once that firm begin its Section 404 reviews, investors may lose confidence in the accuracy and completeness of Ocugen’s financial reports, the market price of Ocugen’s common stock could decline, and Ocugen could be subject to sanctions or investigations by Nasdaq, the SEC or other regulatory authorities. Failure to remedy any material weakness in Ocugen’s internal control over financial reporting, or to implement or maintain other effective control systems required of public companies, could also restrict Ocugen’s future access to the capital markets.</w:t>
      </w:r>
    </w:p>
    <w:p>
      <w:pPr>
        <w:spacing w:after="0" w:line="1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Ocugen’s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Ocugen’s amended and restated certificate of incorporation and amended and restated bylaws contain provisions that could significantly reduce the value of Ocugen’s shares to a potential acquiror or delay or prevent changes in control or changes in Ocugen’s management without the consent of Ocugen’s board of directors. The provisions in Ocugen’s charter documents include the following:</w:t>
      </w:r>
    </w:p>
    <w:p>
      <w:pPr>
        <w:spacing w:after="0" w:line="176" w:lineRule="exact"/>
        <w:rPr>
          <w:sz w:val="20"/>
          <w:szCs w:val="20"/>
          <w:color w:val="auto"/>
        </w:rPr>
      </w:pPr>
    </w:p>
    <w:p>
      <w:pPr>
        <w:ind w:left="1000" w:right="520" w:hanging="331"/>
        <w:spacing w:after="0" w:line="282"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Ocugen’s board of directors;</w:t>
      </w:r>
    </w:p>
    <w:p>
      <w:pPr>
        <w:spacing w:after="0" w:line="161"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jc w:val="both"/>
        <w:ind w:left="1000" w:right="160" w:hanging="331"/>
        <w:spacing w:after="0" w:line="266"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Ocugen’s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Ocugen’s board of directors;</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 due to the classified board of directors;</w:t>
      </w:r>
    </w:p>
    <w:p>
      <w:pPr>
        <w:spacing w:after="0" w:line="225" w:lineRule="exact"/>
        <w:rPr>
          <w:rFonts w:ascii="Times New Roman" w:cs="Times New Roman" w:eastAsia="Times New Roman" w:hAnsi="Times New Roman"/>
          <w:sz w:val="18"/>
          <w:szCs w:val="18"/>
          <w:color w:val="auto"/>
        </w:rPr>
      </w:pPr>
    </w:p>
    <w:p>
      <w:pPr>
        <w:ind w:left="1000" w:right="40" w:hanging="331"/>
        <w:spacing w:after="0" w:line="266"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Ocugen’s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76" w:lineRule="exact"/>
        <w:rPr>
          <w:rFonts w:ascii="Times New Roman" w:cs="Times New Roman" w:eastAsia="Times New Roman" w:hAnsi="Times New Roman"/>
          <w:sz w:val="18"/>
          <w:szCs w:val="18"/>
          <w:color w:val="auto"/>
        </w:rPr>
      </w:pPr>
    </w:p>
    <w:p>
      <w:pPr>
        <w:ind w:left="960" w:hanging="291"/>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Ocugen’s board of directors to alter Ocugen’s amended and restated bylaws without obtaining stockholder approval;</w:t>
      </w:r>
    </w:p>
    <w:p>
      <w:pPr>
        <w:spacing w:after="0" w:line="225" w:lineRule="exact"/>
        <w:rPr>
          <w:rFonts w:ascii="Times New Roman" w:cs="Times New Roman" w:eastAsia="Times New Roman" w:hAnsi="Times New Roman"/>
          <w:sz w:val="18"/>
          <w:szCs w:val="18"/>
          <w:color w:val="auto"/>
        </w:rPr>
      </w:pPr>
    </w:p>
    <w:p>
      <w:pPr>
        <w:ind w:left="1000" w:right="480" w:hanging="331"/>
        <w:spacing w:after="0" w:line="282"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Ocugen’s amended and restated bylaws or repeal certain provisions of Ocugen’s amended and restated certificate of incorporation;</w:t>
      </w:r>
    </w:p>
    <w:p>
      <w:pPr>
        <w:spacing w:after="0" w:line="161" w:lineRule="exact"/>
        <w:rPr>
          <w:rFonts w:ascii="Times New Roman" w:cs="Times New Roman" w:eastAsia="Times New Roman" w:hAnsi="Times New Roman"/>
          <w:sz w:val="18"/>
          <w:szCs w:val="18"/>
          <w:color w:val="auto"/>
        </w:rPr>
      </w:pPr>
    </w:p>
    <w:p>
      <w:pPr>
        <w:ind w:left="1000" w:right="160" w:hanging="331"/>
        <w:spacing w:after="0" w:line="282"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Ocugen’s stockholders;</w:t>
      </w:r>
    </w:p>
    <w:p>
      <w:pPr>
        <w:spacing w:after="0" w:line="161" w:lineRule="exact"/>
        <w:rPr>
          <w:rFonts w:ascii="Times New Roman" w:cs="Times New Roman" w:eastAsia="Times New Roman" w:hAnsi="Times New Roman"/>
          <w:sz w:val="18"/>
          <w:szCs w:val="18"/>
          <w:color w:val="auto"/>
        </w:rPr>
      </w:pPr>
    </w:p>
    <w:p>
      <w:pPr>
        <w:ind w:left="1000" w:right="200" w:hanging="331"/>
        <w:spacing w:after="0" w:line="282"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61" w:lineRule="exact"/>
        <w:rPr>
          <w:rFonts w:ascii="Times New Roman" w:cs="Times New Roman" w:eastAsia="Times New Roman" w:hAnsi="Times New Roman"/>
          <w:sz w:val="18"/>
          <w:szCs w:val="18"/>
          <w:color w:val="auto"/>
        </w:rPr>
      </w:pPr>
    </w:p>
    <w:p>
      <w:pPr>
        <w:ind w:left="1000" w:hanging="331"/>
        <w:spacing w:after="0" w:line="266"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of directors, which may delay the ability of Ocugen’s stockholders to force consideration of a proposal or to take action, including the removal of directors; and</w:t>
      </w:r>
    </w:p>
    <w:p>
      <w:pPr>
        <w:spacing w:after="0" w:line="176" w:lineRule="exact"/>
        <w:rPr>
          <w:rFonts w:ascii="Times New Roman" w:cs="Times New Roman" w:eastAsia="Times New Roman" w:hAnsi="Times New Roman"/>
          <w:sz w:val="18"/>
          <w:szCs w:val="18"/>
          <w:color w:val="auto"/>
        </w:rPr>
      </w:pPr>
    </w:p>
    <w:p>
      <w:pPr>
        <w:ind w:left="1000" w:right="400" w:hanging="331"/>
        <w:spacing w:after="0" w:line="266" w:lineRule="auto"/>
        <w:tabs>
          <w:tab w:leader="none" w:pos="9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Ocugen’s board of directors or to propose matters to be acted upon at a stockholders’ meeting, which may discourage or deter a potential acquiror from conducting a solicitation of proxies to elect the acquiror’s own slate of directors or otherwise attempting to obtain control of Ocugen.</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Ocugen is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Ocugen’s sixth amended and restated certificate of incorporation provides that the Court of Chancery of the State of Delaware is the exclusive forum for substantially all disputes between Ocugen and its stockholders, which could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 Ocugen’s stockholders’ ability to obtain a favorable judicial forum for disputes with Ocugen or its directors, officers or employees.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Ocugen’s sixth amended and restated certificate of incorporation provides that, unless Ocugen consents in writing to the selection of an alternative forum, the Court of Chancery of the State of Delaware is the exclusive forum for any derivative action or proceeding brought on Ocugen’s behalf, any action asserting a breach of fiduciary duty, any action asserting a claim against Ocugen arising pursuant to the Delaware General Corporation Law, Ocugen’s amended and restated certificate of incorporation or Ocugen’s amended and restated bylaws, or any action asserting a claim against Ocugen that is governed by the internal affairs doctrine. This exclusive forum provision would not apply to suits brought to enforce any liability or duty created by the Securities Act or the Exchange Act or any other claim for which the federal courts have exclusive jurisdiction. These choice of forum provisions may limit a stockholder’s ability to bring a claim in a judicial forum that it finds favorable for disputes with Ocugen or its directors, officers or other employees, which may discourage such lawsuits against Ocugen and its directors, officers and other employees. By agreeing to this provision, however, stockholders will not be deemed to have waived Ocugen’s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Ocugen’s certificate of incorporation to be inapplicable or unenforceable in an action, Ocugen may incur additional costs associated with resolving such action in other jurisdictions, which could adversely affect Ocugen’s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 could be subject to securities class action litigation.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Ocugen, because biotechnology and pharmaceutical companies have experienced significant stock price volatility in recent years. If Ocugen faces such litigation, it could result in substantial costs and a diversion of management’s attention and resources, which could harm Ocugen’s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Ocugen may never pay dividends on its common stock so any returns would be limited to the appreciation of Ocugen’s stock.</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Ocugen currently anticipates that it will retain future earnings for the development, operation and expansion of Ocugen’s business and does not anticipate it will declare or pay any cash dividends for the foreseeable future. Any return to stockholders will therefore be limited to the appreciation of their stock.</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Pre-Merger Financing Warrants contain price-based adjustment provisions which, if triggered, may cause substantial additional dilution to the combined organization’s stockholders.</w:t>
      </w:r>
    </w:p>
    <w:p>
      <w:pPr>
        <w:spacing w:after="0" w:line="15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Certain of the Pre-Merger Financing Warrants contain price-based adjustment provisions, pursuant to which the number of shares of the combined organization’s common stock that are issuable upon exercise of such Pre-Merger Financing Warrants may be adjusted upward based upon the volume weighted average trading price of the combined organization’s common stock after closing and in the event of certain dilutive issuances by the Company. Even if Ocugen’s stock increases in value, the number of shares of Ocugen’s common stock issuable upon exercise of the Pre-Merger Financing Warrants may still increase. The circumstances under which the number of shares of Ocugen’s common stock issuable upon exercise of the Pre-Merger Financing Warrants may be adjusted upward are set forth in the Pre-Merger Financing Warrants.</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Concurrently with the effectiveness of the Warrant Amendments, the Investors exercised an aggregate of 3,797,329 Series C Warrants, pursuant to Section 1(d) thereof, as amended, each for one share of common stock. If the Pre-Merger Financing Warrants are further exercised, additional shares of the combined organization’s common stock will be issued, which will result in dilution to our then-existing stockholders and increase the number of shares eligible for resale in the public market. Ignoring restrictions in the Pre-Merger Financing preventing exercises of Pre-Merger Financing Warrants if the exercising Investor would beneficially own in excess of 4.99% or 9.99% of the outstanding common stock (including the common stock issuable upon such exercise), following the issuance of the maximum number of shares issuable upon exercise of the Pre-Merger Financing Warrants, the Investors would hold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aggregate of approximately 80.2% of Ocugen’s total outstanding common stock following such issuance. Sales of substantial numbers of such shares in the public market could depress the market price of the common stock. If the adjustment provisions in the Pre-Merger Financing Warrants are triggered, a substantial number of additional shares of the common stock may become issuable upon exercise of the Pre-Merger Financing Warrants, potentially increasing the impact of any subsequent exercise of the Pre-Merger Financing Warrants and resale of the shares issuable pursuant thereto.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other than as disclosed in the Form 8-K filed on October 1, 2019.</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gridSpan w:val="13"/>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Amendment to Sixth Amended and Restated Certificate of Incorporation related to the Reverse Stock Split and the Authorized Share</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Increase (filed as Exhibit 3.1 to the Registrant’s Current Report on Form 8-K as filed October 1, 2019, and incorporated herein by</w:t>
              </w:r>
            </w:hyperlink>
          </w:p>
        </w:tc>
        <w:tc>
          <w:tcPr>
            <w:tcW w:w="3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reference)</w:t>
              </w:r>
            </w:hyperlink>
          </w:p>
        </w:tc>
        <w:tc>
          <w:tcPr>
            <w:tcW w:w="580" w:type="dxa"/>
            <w:vAlign w:val="bottom"/>
            <w:gridSpan w:val="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Amendment to Sixth Amended and Restated Certificate of Incorporation related to the Name Change (filed as Exhibit 3.2 to the</w:t>
              </w:r>
            </w:hyperlink>
          </w:p>
        </w:tc>
        <w:tc>
          <w:tcPr>
            <w:tcW w:w="70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Registrant’s Current Report on Form 8-K as filed on October 1, 2019, and incorporated herein by reference)</w:t>
              </w:r>
            </w:hyperlink>
          </w:p>
        </w:tc>
        <w:tc>
          <w:tcPr>
            <w:tcW w:w="2140" w:type="dxa"/>
            <w:vAlign w:val="bottom"/>
            <w:gridSpan w:val="9"/>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Amended and Restated Bylaws (filed as Exhibit 3.3 to the Registrant’s Current Report on Form 8-K as filed on October 1, 2019, and</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incorporated herein by reference)</w:t>
              </w:r>
            </w:hyperlink>
          </w:p>
        </w:tc>
        <w:tc>
          <w:tcPr>
            <w:tcW w:w="7140" w:type="dxa"/>
            <w:vAlign w:val="bottom"/>
            <w:tcBorders>
              <w:top w:val="single" w:sz="8" w:color="0000EE"/>
            </w:tcBorders>
            <w:gridSpan w:val="10"/>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No. 1 to Asset Purchase Agreement, dated September 26, 2019, by and between the Registrant and Medavate Corp. (filed as</w:t>
              </w:r>
            </w:hyperlink>
          </w:p>
        </w:tc>
        <w:tc>
          <w:tcPr>
            <w:tcW w:w="4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Exhibit 10.1 to the Registrant’s Current Report on Form 8-K as filed on October 1, 2019, and incorporated herein by reference)</w:t>
              </w:r>
            </w:hyperlink>
          </w:p>
        </w:tc>
        <w:tc>
          <w:tcPr>
            <w:tcW w:w="760" w:type="dxa"/>
            <w:vAlign w:val="bottom"/>
            <w:gridSpan w:val="7"/>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Co-Development and Commercialization Agreement, dated as of September 27, 2019, by and among the Registrant and CanSino</w:t>
              </w:r>
            </w:hyperlink>
          </w:p>
        </w:tc>
        <w:tc>
          <w:tcPr>
            <w:tcW w:w="62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Biologics Inc.</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39">
              <w:r>
                <w:rPr>
                  <w:rFonts w:ascii="Times New Roman" w:cs="Times New Roman" w:eastAsia="Times New Roman" w:hAnsi="Times New Roman"/>
                  <w:sz w:val="18"/>
                  <w:szCs w:val="18"/>
                  <w:color w:val="0000EE"/>
                  <w:w w:val="99"/>
                </w:rPr>
                <w:t>Employment Agreement, dated as of September 10, 2019, by and between the Registrant and Sanjay Subramanian.</w:t>
              </w:r>
            </w:hyperlink>
          </w:p>
        </w:tc>
        <w:tc>
          <w:tcPr>
            <w:tcW w:w="1640" w:type="dxa"/>
            <w:vAlign w:val="bottom"/>
            <w:gridSpan w:val="8"/>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58">
              <w:r>
                <w:rPr>
                  <w:rFonts w:ascii="Times New Roman" w:cs="Times New Roman" w:eastAsia="Times New Roman" w:hAnsi="Times New Roman"/>
                  <w:sz w:val="18"/>
                  <w:szCs w:val="18"/>
                  <w:color w:val="0000EE"/>
                  <w:w w:val="99"/>
                </w:rPr>
                <w:t>Certification of the Chief Executive Officer, as required by Section 302 of the Sarbanes-Oxley Act of 2002</w:t>
              </w:r>
            </w:hyperlink>
          </w:p>
        </w:tc>
        <w:tc>
          <w:tcPr>
            <w:tcW w:w="2220" w:type="dxa"/>
            <w:vAlign w:val="bottom"/>
            <w:gridSpan w:val="10"/>
          </w:tcPr>
          <w:p>
            <w:pPr>
              <w:spacing w:after="0"/>
              <w:rPr>
                <w:sz w:val="24"/>
                <w:szCs w:val="24"/>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Certification of the Chief Financial Officer as required by Section 302 of the Sarbanes-Oxley Act of 2002</w:t>
              </w:r>
            </w:hyperlink>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60">
              <w:r>
                <w:rPr>
                  <w:rFonts w:ascii="Times New Roman" w:cs="Times New Roman" w:eastAsia="Times New Roman" w:hAnsi="Times New Roman"/>
                  <w:sz w:val="18"/>
                  <w:szCs w:val="18"/>
                  <w:color w:val="0000EE"/>
                  <w:w w:val="99"/>
                </w:rPr>
                <w:t>Certifications of the Chief Executive Officer and Chief Financial Officer as required by 18 U.S.C. 1350</w:t>
              </w:r>
            </w:hyperlink>
          </w:p>
        </w:tc>
        <w:tc>
          <w:tcPr>
            <w:tcW w:w="140" w:type="dxa"/>
            <w:vAlign w:val="bottom"/>
            <w:tcBorders>
              <w:top w:val="single" w:sz="8" w:color="0000EE"/>
            </w:tcBorders>
          </w:tcPr>
          <w:p>
            <w:pPr>
              <w:spacing w:after="0"/>
              <w:rPr>
                <w:sz w:val="24"/>
                <w:szCs w:val="24"/>
                <w:color w:val="auto"/>
              </w:rPr>
            </w:pPr>
          </w:p>
        </w:tc>
        <w:tc>
          <w:tcPr>
            <w:tcW w:w="2320" w:type="dxa"/>
            <w:vAlign w:val="bottom"/>
            <w:gridSpan w:val="11"/>
          </w:tcPr>
          <w:p>
            <w:pPr>
              <w:spacing w:after="0"/>
              <w:rPr>
                <w:sz w:val="24"/>
                <w:szCs w:val="24"/>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right="4220" w:firstLine="8"/>
        <w:spacing w:after="0" w:line="261" w:lineRule="auto"/>
        <w:tabs>
          <w:tab w:leader="none" w:pos="3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Regulations S-K. + Indicates a management contract or compensatory plan or arrangement.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Ocugen, Inc.</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2019</w:t>
            </w:r>
          </w:p>
        </w:tc>
        <w:tc>
          <w:tcPr>
            <w:tcW w:w="20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Shankar Musunuri, Ph.D., MBA</w:t>
            </w:r>
          </w:p>
        </w:tc>
        <w:tc>
          <w:tcPr>
            <w:tcW w:w="40" w:type="dxa"/>
            <w:vAlign w:val="bottom"/>
          </w:tcPr>
          <w:p>
            <w:pPr>
              <w:spacing w:after="0"/>
              <w:rPr>
                <w:sz w:val="24"/>
                <w:szCs w:val="24"/>
                <w:color w:val="auto"/>
              </w:rPr>
            </w:pPr>
          </w:p>
        </w:tc>
      </w:tr>
      <w:tr>
        <w:trPr>
          <w:trHeight w:val="187"/>
        </w:trPr>
        <w:tc>
          <w:tcPr>
            <w:tcW w:w="3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6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Shankar Musunuri, Ph.D., MBA</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&amp; Chairman</w:t>
            </w:r>
          </w:p>
        </w:tc>
        <w:tc>
          <w:tcPr>
            <w:tcW w:w="40" w:type="dxa"/>
            <w:vAlign w:val="bottom"/>
          </w:tcPr>
          <w:p>
            <w:pPr>
              <w:spacing w:after="0"/>
              <w:rPr>
                <w:sz w:val="18"/>
                <w:szCs w:val="18"/>
                <w:color w:val="auto"/>
              </w:rPr>
            </w:pPr>
          </w:p>
        </w:tc>
      </w:tr>
      <w:tr>
        <w:trPr>
          <w:trHeight w:val="238"/>
        </w:trPr>
        <w:tc>
          <w:tcPr>
            <w:tcW w:w="3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12, 2019</w:t>
            </w:r>
          </w:p>
        </w:tc>
        <w:tc>
          <w:tcPr>
            <w:tcW w:w="20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Subramanian</w:t>
            </w:r>
          </w:p>
        </w:tc>
        <w:tc>
          <w:tcPr>
            <w:tcW w:w="40" w:type="dxa"/>
            <w:vAlign w:val="bottom"/>
          </w:tcPr>
          <w:p>
            <w:pPr>
              <w:spacing w:after="0"/>
              <w:rPr>
                <w:sz w:val="24"/>
                <w:szCs w:val="24"/>
                <w:color w:val="auto"/>
              </w:rPr>
            </w:pPr>
          </w:p>
        </w:tc>
      </w:tr>
      <w:tr>
        <w:trPr>
          <w:trHeight w:val="187"/>
        </w:trPr>
        <w:tc>
          <w:tcPr>
            <w:tcW w:w="3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6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Sanjay Subramanian</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40" w:type="dxa"/>
            <w:vAlign w:val="bottom"/>
          </w:tcPr>
          <w:p>
            <w:pPr>
              <w:spacing w:after="0"/>
              <w:rPr>
                <w:sz w:val="18"/>
                <w:szCs w:val="18"/>
                <w:color w:val="auto"/>
              </w:rPr>
            </w:pPr>
          </w:p>
        </w:tc>
      </w:tr>
      <w:tr>
        <w:trPr>
          <w:trHeight w:val="238"/>
        </w:trPr>
        <w:tc>
          <w:tcPr>
            <w:tcW w:w="38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 and Accounting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762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5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3" w:name="page94"/>
    <w:bookmarkEnd w:id="9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Final</w:t>
      </w:r>
    </w:p>
    <w:p>
      <w:pPr>
        <w:spacing w:after="0" w:line="22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would likely cause competitive harm to the registrant if publicly disclosed. The registrant hereby undertakes to provide further information regarding such marked information to the Securities and Exchange Commission upon request.</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CO-DEVELOPMENT AND COMMERCIALIZATION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Co-Development and Commercialization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September 27, 2019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made by and between:</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 Inc., with an address at 5 Great Valley Parkway, Suite 160, Malvern, PA 19355, USA (“</w:t>
      </w:r>
      <w:r>
        <w:rPr>
          <w:rFonts w:ascii="Times New Roman" w:cs="Times New Roman" w:eastAsia="Times New Roman" w:hAnsi="Times New Roman"/>
          <w:sz w:val="18"/>
          <w:szCs w:val="18"/>
          <w:b w:val="1"/>
          <w:bCs w:val="1"/>
          <w:color w:val="auto"/>
        </w:rPr>
        <w:t>Ocugen</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CanSino Biologics Inc., whose registered office address is at 185 South Ave, TEDA West District, Tianjin, 300457, China (“</w:t>
      </w:r>
      <w:r>
        <w:rPr>
          <w:rFonts w:ascii="Times New Roman" w:cs="Times New Roman" w:eastAsia="Times New Roman" w:hAnsi="Times New Roman"/>
          <w:sz w:val="18"/>
          <w:szCs w:val="18"/>
          <w:b w:val="1"/>
          <w:bCs w:val="1"/>
          <w:color w:val="auto"/>
        </w:rPr>
        <w:t>CanSino</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WHEREAS, Ocugen has unique expertise with respect to the development of gene therapy products and has identified and developed prior to the Effective Date the gene therapy product known as OCU400 for use in the Field;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CanSino wishes to collaborate and cooperate with Ocugen to co-Develop and Commercialize Products in the Field; and</w:t>
      </w:r>
    </w:p>
    <w:p>
      <w:pPr>
        <w:spacing w:after="0" w:line="225"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WHEREAS, Ocugen is willing to grant CanSino the exclusive right under the Ocugen Technology and Ocugen Patent Rights to Develop, Manufacture and Commercialize Products in the Field in and for the CanSino Territory.</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for other good and valuable consideration, the Parties, intending to be legally bound, hereby agree as follows:</w:t>
      </w:r>
    </w:p>
    <w:p>
      <w:pPr>
        <w:spacing w:after="0" w:line="158"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the following words shall have the following meanings: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Adverse Event</w:t>
            </w:r>
          </w:p>
        </w:tc>
        <w:tc>
          <w:tcPr>
            <w:tcW w:w="9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Any untoward medical occurrence in a patient who is administered a Product, whether or not considered related to such</w:t>
            </w:r>
          </w:p>
        </w:tc>
      </w:tr>
      <w:tr>
        <w:trPr>
          <w:trHeight w:val="234"/>
        </w:trPr>
        <w:tc>
          <w:tcPr>
            <w:tcW w:w="1840" w:type="dxa"/>
            <w:vAlign w:val="bottom"/>
          </w:tcPr>
          <w:p>
            <w:pPr>
              <w:spacing w:after="0"/>
              <w:rPr>
                <w:sz w:val="20"/>
                <w:szCs w:val="20"/>
                <w:color w:val="auto"/>
              </w:rPr>
            </w:pPr>
          </w:p>
        </w:tc>
        <w:tc>
          <w:tcPr>
            <w:tcW w:w="9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Product, including any undesirable sign (including abnormal laboratory findings of clinical concern), symptom or</w:t>
            </w:r>
          </w:p>
        </w:tc>
      </w:tr>
      <w:tr>
        <w:trPr>
          <w:trHeight w:val="432"/>
        </w:trPr>
        <w:tc>
          <w:tcPr>
            <w:tcW w:w="1840" w:type="dxa"/>
            <w:vAlign w:val="bottom"/>
          </w:tcPr>
          <w:p>
            <w:pPr>
              <w:spacing w:after="0"/>
              <w:rPr>
                <w:sz w:val="24"/>
                <w:szCs w:val="24"/>
                <w:color w:val="auto"/>
              </w:rPr>
            </w:pPr>
          </w:p>
        </w:tc>
        <w:tc>
          <w:tcPr>
            <w:tcW w:w="9620" w:type="dxa"/>
            <w:vAlign w:val="bottom"/>
          </w:tcPr>
          <w:p>
            <w:pPr>
              <w:jc w:val="right"/>
              <w:ind w:right="5610"/>
              <w:spacing w:after="0"/>
              <w:rPr>
                <w:sz w:val="20"/>
                <w:szCs w:val="20"/>
                <w:color w:val="auto"/>
              </w:rPr>
            </w:pPr>
            <w:r>
              <w:rPr>
                <w:rFonts w:ascii="Times New Roman" w:cs="Times New Roman" w:eastAsia="Times New Roman" w:hAnsi="Times New Roman"/>
                <w:sz w:val="18"/>
                <w:szCs w:val="18"/>
                <w:color w:val="auto"/>
              </w:rPr>
              <w:t>1</w:t>
            </w:r>
          </w:p>
        </w:tc>
      </w:tr>
      <w:tr>
        <w:trPr>
          <w:trHeight w:val="132"/>
        </w:trPr>
        <w:tc>
          <w:tcPr>
            <w:tcW w:w="1840" w:type="dxa"/>
            <w:vAlign w:val="bottom"/>
            <w:tcBorders>
              <w:bottom w:val="single" w:sz="8" w:color="808080"/>
            </w:tcBorders>
          </w:tcPr>
          <w:p>
            <w:pPr>
              <w:spacing w:after="0"/>
              <w:rPr>
                <w:sz w:val="11"/>
                <w:szCs w:val="11"/>
                <w:color w:val="auto"/>
              </w:rPr>
            </w:pPr>
          </w:p>
        </w:tc>
        <w:tc>
          <w:tcPr>
            <w:tcW w:w="9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disease associated with the use of such Product.</w:t>
            </w: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 respect to any Person, any other Person that directly or indirectly controls, is controlled by or is under common</w:t>
            </w:r>
          </w:p>
        </w:tc>
      </w:tr>
      <w:tr>
        <w:trPr>
          <w:trHeight w:val="216"/>
        </w:trPr>
        <w:tc>
          <w:tcPr>
            <w:tcW w:w="21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control with such first Person. For purposes of this definition only, the term “control” (including, with correlative meaning,</w:t>
            </w:r>
          </w:p>
        </w:tc>
      </w:tr>
      <w:tr>
        <w:trPr>
          <w:trHeight w:val="216"/>
        </w:trPr>
        <w:tc>
          <w:tcPr>
            <w:tcW w:w="21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terms “controlled by” or “under common control with”) means direct or indirect ownership of fifty percent (50%) or</w:t>
            </w:r>
          </w:p>
        </w:tc>
      </w:tr>
      <w:tr>
        <w:trPr>
          <w:trHeight w:val="216"/>
        </w:trPr>
        <w:tc>
          <w:tcPr>
            <w:tcW w:w="21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more, including ownership by one or more trusts with substantially the same beneficial interests, of the voting and equity</w:t>
            </w:r>
          </w:p>
        </w:tc>
      </w:tr>
      <w:tr>
        <w:trPr>
          <w:trHeight w:val="234"/>
        </w:trPr>
        <w:tc>
          <w:tcPr>
            <w:tcW w:w="21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rights of such Person, or the power to direct the management of such Person.</w:t>
            </w: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Applicable Laws</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Any national, international, federal, state or local laws, treaties, statutes, ordinances, rules and regulations, including any</w:t>
            </w:r>
          </w:p>
        </w:tc>
      </w:tr>
      <w:tr>
        <w:trPr>
          <w:trHeight w:val="216"/>
        </w:trPr>
        <w:tc>
          <w:tcPr>
            <w:tcW w:w="21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rules, regulations, guidance, guidelines or requirements of any Governmental Authority, Regulatory Authority, national</w:t>
            </w:r>
          </w:p>
        </w:tc>
      </w:tr>
      <w:tr>
        <w:trPr>
          <w:trHeight w:val="216"/>
        </w:trPr>
        <w:tc>
          <w:tcPr>
            <w:tcW w:w="21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securities exchanges or securities listing organizations, that are in effect from time to time during the Term and apply to a</w:t>
            </w:r>
          </w:p>
        </w:tc>
      </w:tr>
      <w:tr>
        <w:trPr>
          <w:trHeight w:val="234"/>
        </w:trPr>
        <w:tc>
          <w:tcPr>
            <w:tcW w:w="21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particular activity hereunder.</w:t>
            </w: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BLA</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Biologics License Application, as defined in the FDCA and regulations promulgated thereunder, or similar application,</w:t>
            </w:r>
          </w:p>
        </w:tc>
      </w:tr>
      <w:tr>
        <w:trPr>
          <w:trHeight w:val="234"/>
        </w:trPr>
        <w:tc>
          <w:tcPr>
            <w:tcW w:w="21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 any successor application or procedure required to sell a Product in the Territory.</w:t>
            </w:r>
          </w:p>
        </w:tc>
      </w:tr>
      <w:tr>
        <w:trPr>
          <w:trHeight w:val="410"/>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CanSino Development</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All Development activities to be conducted by or on behalf of CanSino with respect to the Development Program as</w:t>
            </w:r>
          </w:p>
        </w:tc>
      </w:tr>
      <w:tr>
        <w:trPr>
          <w:trHeight w:val="238"/>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specified in the Development Plan pursuant to this Agreement.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CanSino Territory</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Greater China, including mainland China, Hong Kong, Macao and Taiwan.</w:t>
            </w: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Claims</w:t>
            </w: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All demands, claims and liabilities (whether criminal or civil, in contract, tort, or otherwise) for losses, damages, legal</w:t>
            </w:r>
          </w:p>
        </w:tc>
      </w:tr>
      <w:tr>
        <w:trPr>
          <w:trHeight w:val="216"/>
        </w:trPr>
        <w:tc>
          <w:tcPr>
            <w:tcW w:w="21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costs, or other expenses of any nature whatsoever, and all costs and expenses (including legal costs) incurred in connection</w:t>
            </w:r>
          </w:p>
        </w:tc>
      </w:tr>
      <w:tr>
        <w:trPr>
          <w:trHeight w:val="234"/>
        </w:trPr>
        <w:tc>
          <w:tcPr>
            <w:tcW w:w="21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therewith.</w:t>
            </w:r>
          </w:p>
        </w:tc>
      </w:tr>
      <w:tr>
        <w:trPr>
          <w:trHeight w:val="432"/>
        </w:trPr>
        <w:tc>
          <w:tcPr>
            <w:tcW w:w="2120" w:type="dxa"/>
            <w:vAlign w:val="bottom"/>
          </w:tcPr>
          <w:p>
            <w:pPr>
              <w:spacing w:after="0"/>
              <w:rPr>
                <w:sz w:val="24"/>
                <w:szCs w:val="24"/>
                <w:color w:val="auto"/>
              </w:rPr>
            </w:pPr>
          </w:p>
        </w:tc>
        <w:tc>
          <w:tcPr>
            <w:tcW w:w="93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2</w:t>
            </w:r>
          </w:p>
        </w:tc>
      </w:tr>
      <w:tr>
        <w:trPr>
          <w:trHeight w:val="132"/>
        </w:trPr>
        <w:tc>
          <w:tcPr>
            <w:tcW w:w="2120" w:type="dxa"/>
            <w:vAlign w:val="bottom"/>
            <w:tcBorders>
              <w:bottom w:val="single" w:sz="8" w:color="808080"/>
            </w:tcBorders>
          </w:tcPr>
          <w:p>
            <w:pPr>
              <w:spacing w:after="0"/>
              <w:rPr>
                <w:sz w:val="11"/>
                <w:szCs w:val="11"/>
                <w:color w:val="auto"/>
              </w:rPr>
            </w:pPr>
          </w:p>
        </w:tc>
        <w:tc>
          <w:tcPr>
            <w:tcW w:w="9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Clinical Data</w:t>
            </w: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and all data (together with all clinical trial reports and the results of analyses thereof) derived or generated from any</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Clinical Trial involving a Product conducted by or on behalf of a Party or from the testing of subjects or the analysis of</w:t>
            </w:r>
          </w:p>
        </w:tc>
      </w:tr>
      <w:tr>
        <w:trPr>
          <w:trHeight w:val="234"/>
        </w:trPr>
        <w:tc>
          <w:tcPr>
            <w:tcW w:w="2200" w:type="dxa"/>
            <w:vAlign w:val="bottom"/>
          </w:tcPr>
          <w:p>
            <w:pPr>
              <w:spacing w:after="0"/>
              <w:rPr>
                <w:sz w:val="20"/>
                <w:szCs w:val="20"/>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samples used in any such Clinical Trial.</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Clinical Trial</w:t>
            </w: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Collectively, any Phase 1 Clinical Trial, Phase 2 Clinical Trial or Phase 3 Clinical Trial.</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CMC Technology</w:t>
            </w: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Technology that relates to chemistry, manufacture and control for a Product.</w:t>
            </w:r>
          </w:p>
        </w:tc>
      </w:tr>
      <w:tr>
        <w:trPr>
          <w:trHeight w:val="410"/>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Commercialization</w:t>
            </w: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and all activities directed to the offering for sale and sale of a Product in the Ocugen Territory or the CanSino</w:t>
            </w:r>
          </w:p>
        </w:tc>
      </w:tr>
      <w:tr>
        <w:trPr>
          <w:trHeight w:val="220"/>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 Commercialize</w:t>
            </w: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Territory, as applicable, including: (a) activities directed to marketing, promoting, detailing, warehousing, distributing,</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importing, exporting, selling and offering to sell such Product; (b) conducting post-registration efficacy and/or safety</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clinical trials with respect to such Product; (c) interacting with Regulatory Authorities regarding the above; (d) seeking</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pricing approvals and reimbursement approvals (as applicable) for such Product; and (e) conducting other post-registration</w:t>
            </w:r>
          </w:p>
        </w:tc>
      </w:tr>
      <w:tr>
        <w:trPr>
          <w:trHeight w:val="212"/>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studies, including health-economic outcomes research, real-world evidence studies, or investigator-initiated studies/trials.</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used as a verb, to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means to engage in Commercialization and</w:t>
            </w:r>
          </w:p>
        </w:tc>
      </w:tr>
      <w:tr>
        <w:trPr>
          <w:trHeight w:val="238"/>
        </w:trPr>
        <w:tc>
          <w:tcPr>
            <w:tcW w:w="2200" w:type="dxa"/>
            <w:vAlign w:val="bottom"/>
          </w:tcPr>
          <w:p>
            <w:pPr>
              <w:spacing w:after="0"/>
              <w:rPr>
                <w:sz w:val="20"/>
                <w:szCs w:val="20"/>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Commercialized</w:t>
            </w:r>
            <w:r>
              <w:rPr>
                <w:rFonts w:ascii="Times New Roman" w:cs="Times New Roman" w:eastAsia="Times New Roman" w:hAnsi="Times New Roman"/>
                <w:sz w:val="18"/>
                <w:szCs w:val="18"/>
                <w:color w:val="auto"/>
              </w:rPr>
              <w:t>” has a corresponding meaning.</w:t>
            </w: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Commercialization Plan</w:t>
            </w: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written plan for the Commercialization of Products by a Party in the Ocugen Territory or the CanSino Territory, as</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during each [three] ([3]) year period beginning in the calendar year in which the First Commercial Sale of the</w:t>
            </w:r>
          </w:p>
        </w:tc>
      </w:tr>
      <w:tr>
        <w:trPr>
          <w:trHeight w:val="216"/>
        </w:trPr>
        <w:tc>
          <w:tcPr>
            <w:tcW w:w="220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Product occurs anywhere in such Territory, as such written plan may be amended, modified or updated by the</w:t>
            </w:r>
          </w:p>
        </w:tc>
      </w:tr>
      <w:tr>
        <w:trPr>
          <w:trHeight w:val="234"/>
        </w:trPr>
        <w:tc>
          <w:tcPr>
            <w:tcW w:w="2200" w:type="dxa"/>
            <w:vAlign w:val="bottom"/>
          </w:tcPr>
          <w:p>
            <w:pPr>
              <w:spacing w:after="0"/>
              <w:rPr>
                <w:sz w:val="20"/>
                <w:szCs w:val="20"/>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responsible Party from time to time, and which written plan shall contain, among other things: (a) Commercialization</w:t>
            </w:r>
          </w:p>
        </w:tc>
      </w:tr>
      <w:tr>
        <w:trPr>
          <w:trHeight w:val="432"/>
        </w:trPr>
        <w:tc>
          <w:tcPr>
            <w:tcW w:w="2200" w:type="dxa"/>
            <w:vAlign w:val="bottom"/>
          </w:tcPr>
          <w:p>
            <w:pPr>
              <w:spacing w:after="0"/>
              <w:rPr>
                <w:sz w:val="24"/>
                <w:szCs w:val="24"/>
                <w:color w:val="auto"/>
              </w:rPr>
            </w:pPr>
          </w:p>
        </w:tc>
        <w:tc>
          <w:tcPr>
            <w:tcW w:w="926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3</w:t>
            </w:r>
          </w:p>
        </w:tc>
      </w:tr>
      <w:tr>
        <w:trPr>
          <w:trHeight w:val="132"/>
        </w:trPr>
        <w:tc>
          <w:tcPr>
            <w:tcW w:w="2200" w:type="dxa"/>
            <w:vAlign w:val="bottom"/>
            <w:tcBorders>
              <w:bottom w:val="single" w:sz="8" w:color="808080"/>
            </w:tcBorders>
          </w:tcPr>
          <w:p>
            <w:pPr>
              <w:spacing w:after="0"/>
              <w:rPr>
                <w:sz w:val="11"/>
                <w:szCs w:val="11"/>
                <w:color w:val="auto"/>
              </w:rPr>
            </w:pPr>
          </w:p>
        </w:tc>
        <w:tc>
          <w:tcPr>
            <w:tcW w:w="92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96" w:name="page97"/>
    <w:bookmarkEnd w:id="96"/>
    <w:p>
      <w:pPr>
        <w:ind w:left="2540"/>
        <w:spacing w:after="0"/>
        <w:rPr>
          <w:sz w:val="20"/>
          <w:szCs w:val="20"/>
          <w:color w:val="auto"/>
        </w:rPr>
      </w:pPr>
      <w:r>
        <w:rPr>
          <w:rFonts w:ascii="Times New Roman" w:cs="Times New Roman" w:eastAsia="Times New Roman" w:hAnsi="Times New Roman"/>
          <w:sz w:val="18"/>
          <w:szCs w:val="18"/>
          <w:color w:val="auto"/>
        </w:rPr>
        <w:t>objectives for the Products in such Territory; and (b) a projected timeline and budget for achieving such objectives.</w:t>
      </w:r>
    </w:p>
    <w:p>
      <w:pPr>
        <w:spacing w:after="0" w:line="22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Commercially Reasonable</w:t>
      </w:r>
      <w:r>
        <w:rPr>
          <w:sz w:val="20"/>
          <w:szCs w:val="20"/>
          <w:color w:val="auto"/>
        </w:rPr>
        <w:tab/>
      </w:r>
      <w:r>
        <w:rPr>
          <w:rFonts w:ascii="Times New Roman" w:cs="Times New Roman" w:eastAsia="Times New Roman" w:hAnsi="Times New Roman"/>
          <w:sz w:val="17"/>
          <w:szCs w:val="17"/>
          <w:color w:val="auto"/>
        </w:rPr>
        <w:t>With respect to the conduct by a Party of obligations or tasks hereunder, including as it relates to the Development or</w:t>
      </w:r>
    </w:p>
    <w:p>
      <w:pPr>
        <w:spacing w:after="0" w:line="31" w:lineRule="exact"/>
        <w:rPr>
          <w:sz w:val="20"/>
          <w:szCs w:val="20"/>
          <w:color w:val="auto"/>
        </w:rPr>
      </w:pPr>
    </w:p>
    <w:p>
      <w:pPr>
        <w:ind w:left="2540" w:hanging="2539"/>
        <w:spacing w:after="0" w:line="251"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Efforts</w:t>
      </w:r>
      <w:r>
        <w:rPr>
          <w:sz w:val="20"/>
          <w:szCs w:val="20"/>
          <w:color w:val="auto"/>
        </w:rPr>
        <w:tab/>
      </w:r>
      <w:r>
        <w:rPr>
          <w:rFonts w:ascii="Times New Roman" w:cs="Times New Roman" w:eastAsia="Times New Roman" w:hAnsi="Times New Roman"/>
          <w:sz w:val="18"/>
          <w:szCs w:val="18"/>
          <w:color w:val="auto"/>
        </w:rPr>
        <w:t>Commercialization of a Product, the performance of such obligations or tasks by such Party in an active and sustained manner, without undue interruption, pause or delay, using a level of effort consistent with the exercise of good faith and prudent scientific and business judgment commonly used by a biopharmaceutical company of similar size and resources in the development, manufacture or commercialization of biologics and products of comparable market potential as such Product, taking into account all relevant factors, including as applicable, the stage of development, efficacy and safety relative to competitive products in the marketplace, actual or anticipated Regulatory Authority approved labeling, the nature and extent of market exclusivity (including patent coverage and regulatory exclusivity), the cost and likelihood of obtaining all Regulatory Approvals, and actual or projected profitability. For clarity, Commercially Reasonable Efforts shall be determined on a market-by-market basis for each Product, and it is anticipated that the level of efforts and resources may be different for different markets and may change over time, reflecting changes in the status of such Product.</w:t>
      </w:r>
    </w:p>
    <w:p>
      <w:pPr>
        <w:spacing w:after="0" w:line="190" w:lineRule="exact"/>
        <w:rPr>
          <w:sz w:val="20"/>
          <w:szCs w:val="20"/>
          <w:color w:val="auto"/>
        </w:rPr>
      </w:pPr>
    </w:p>
    <w:p>
      <w:pPr>
        <w:ind w:left="2540" w:right="160" w:hanging="2525"/>
        <w:spacing w:after="0" w:line="261"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Confidential Information</w:t>
      </w:r>
      <w:r>
        <w:rPr>
          <w:sz w:val="20"/>
          <w:szCs w:val="20"/>
          <w:color w:val="auto"/>
        </w:rPr>
        <w:tab/>
      </w:r>
      <w:r>
        <w:rPr>
          <w:rFonts w:ascii="Times New Roman" w:cs="Times New Roman" w:eastAsia="Times New Roman" w:hAnsi="Times New Roman"/>
          <w:sz w:val="18"/>
          <w:szCs w:val="18"/>
          <w:color w:val="auto"/>
        </w:rPr>
        <w:t>All (a) documents and information provided by or on behalf of one Party to the other Party in connection with or in furtherance of this Agreement, including at any meeting of the JSC, (b) the terms of this Agreement, and (c) all Ocugen Technology, Ocugen Patent Rights, Joint Program Technology, Joint Program Patent Rights and Joint Program Materials that are disclosed or provided by or on behalf of a Party to the other Party, or to any of its employees,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consultants or Affiliates during the Term.</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Control or Controlled</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respect to Technology or Patent Rights, the possession by a Party of the right to grant a license or sublicense to such</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 or Patent Rights as provided herein without the payment of consideration to, or violating the terms of any</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or arrangement with any third party, and without violating any Applicable Laws. For clarity, neither a Party nor</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of its Affiliates shall be deemed to Control any Technology or Patent Rights by virtue of the rights granted by the other</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Party under this Agreement.</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Cover or Covered</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respect to a Product, that the Manufacture, use, offer for sale, sale or import of such Product in a particular country by</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unlicensed Third Party would infringe a Valid Claim.</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CTA</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clinical trial application or any successor application or procedure required to initiate clinical testing of a Product in</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humans in the Territory, and all supplements and amendments to any of the foregoing.</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CTM</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Clinical testing materials, including clinical supplies of Products in appropriate containers, for use in Clinical Trials.</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Results, data, and analyses thereof, including non-clinical data and Clinical Data.</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 or Develop</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respect to a Product and in accordance with the Development Plan, (a) research, non-clinical and pre-clinical</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studies, IND-enabling studies and clinical drug development activities that are undertaken with respect to such Product up</w:t>
            </w:r>
          </w:p>
        </w:tc>
      </w:tr>
      <w:tr>
        <w:trPr>
          <w:trHeight w:val="212"/>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through and including the date any related Clinical Studies are completed, and (b) the preparation, filing and obtaining of</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INDs and Marketing Authorizations and all regulatory affairs related to the foregoing. When used as a verb,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w:t>
            </w:r>
          </w:p>
        </w:tc>
      </w:tr>
      <w:tr>
        <w:trPr>
          <w:trHeight w:val="220"/>
        </w:trPr>
        <w:tc>
          <w:tcPr>
            <w:tcW w:w="2220" w:type="dxa"/>
            <w:vAlign w:val="bottom"/>
          </w:tcPr>
          <w:p>
            <w:pPr>
              <w:spacing w:after="0"/>
              <w:rPr>
                <w:sz w:val="19"/>
                <w:szCs w:val="19"/>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means to engage in Development and “</w:t>
            </w:r>
            <w:r>
              <w:rPr>
                <w:rFonts w:ascii="Times New Roman" w:cs="Times New Roman" w:eastAsia="Times New Roman" w:hAnsi="Times New Roman"/>
                <w:sz w:val="18"/>
                <w:szCs w:val="18"/>
                <w:b w:val="1"/>
                <w:bCs w:val="1"/>
                <w:color w:val="auto"/>
              </w:rPr>
              <w:t>Developed</w:t>
            </w:r>
            <w:r>
              <w:rPr>
                <w:rFonts w:ascii="Times New Roman" w:cs="Times New Roman" w:eastAsia="Times New Roman" w:hAnsi="Times New Roman"/>
                <w:sz w:val="18"/>
                <w:szCs w:val="18"/>
                <w:color w:val="auto"/>
              </w:rPr>
              <w:t>” has a corresponding meaning. For clarity,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shall</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exclude any Commercialization activities.</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 Plan</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written plan for the Development by the Parties of</w:t>
            </w:r>
          </w:p>
        </w:tc>
      </w:tr>
      <w:tr>
        <w:trPr>
          <w:trHeight w:val="432"/>
        </w:trPr>
        <w:tc>
          <w:tcPr>
            <w:tcW w:w="2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5</w:t>
            </w:r>
          </w:p>
        </w:tc>
      </w:tr>
      <w:tr>
        <w:trPr>
          <w:trHeight w:val="132"/>
        </w:trPr>
        <w:tc>
          <w:tcPr>
            <w:tcW w:w="2220" w:type="dxa"/>
            <w:vAlign w:val="bottom"/>
            <w:tcBorders>
              <w:bottom w:val="single" w:sz="8" w:color="808080"/>
            </w:tcBorders>
          </w:tcPr>
          <w:p>
            <w:pPr>
              <w:spacing w:after="0"/>
              <w:rPr>
                <w:sz w:val="11"/>
                <w:szCs w:val="11"/>
                <w:color w:val="auto"/>
              </w:rPr>
            </w:pPr>
          </w:p>
        </w:tc>
        <w:tc>
          <w:tcPr>
            <w:tcW w:w="92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8" w:name="page99"/>
    <w:bookmarkEnd w:id="98"/>
    <w:p>
      <w:pPr>
        <w:ind w:left="2540" w:right="60"/>
        <w:spacing w:after="0" w:line="276" w:lineRule="auto"/>
        <w:rPr>
          <w:sz w:val="20"/>
          <w:szCs w:val="20"/>
          <w:color w:val="auto"/>
        </w:rPr>
      </w:pPr>
      <w:r>
        <w:rPr>
          <w:rFonts w:ascii="Times New Roman" w:cs="Times New Roman" w:eastAsia="Times New Roman" w:hAnsi="Times New Roman"/>
          <w:sz w:val="17"/>
          <w:szCs w:val="17"/>
          <w:color w:val="auto"/>
        </w:rPr>
        <w:t>Products in the Field in and for their respective Territories for a calendar year or longer period, as such written plan may be amended, modified or updated by the Parties from time to time, and which written plan shall contain, among other things:</w:t>
      </w:r>
    </w:p>
    <w:p>
      <w:pPr>
        <w:spacing w:after="0" w:line="1" w:lineRule="exact"/>
        <w:rPr>
          <w:sz w:val="20"/>
          <w:szCs w:val="20"/>
          <w:color w:val="auto"/>
        </w:rPr>
      </w:pPr>
    </w:p>
    <w:p>
      <w:pPr>
        <w:jc w:val="both"/>
        <w:ind w:left="2540" w:right="100" w:hanging="6"/>
        <w:spacing w:after="0" w:line="265" w:lineRule="auto"/>
        <w:tabs>
          <w:tab w:leader="none" w:pos="278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objectives for the Products and the Development activities to be performed by the Parties in the Field in their respective Territories; (b) the regulatory activities to be conducted by the Parties in their respective Territories; and</w:t>
      </w:r>
    </w:p>
    <w:p>
      <w:pPr>
        <w:ind w:left="2780" w:hanging="246"/>
        <w:spacing w:after="0"/>
        <w:tabs>
          <w:tab w:leader="none" w:pos="2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projected timeline and budget for all such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 Program</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development program to be conducted during the Term pursuant to which Ocugen and CanSino shall collaborate with</w:t>
            </w: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 to the Development activities set forth in the Development Plan. For clarity, the Development Program shall</w:t>
            </w:r>
          </w:p>
        </w:tc>
      </w:tr>
      <w:tr>
        <w:trPr>
          <w:trHeight w:val="234"/>
        </w:trPr>
        <w:tc>
          <w:tcPr>
            <w:tcW w:w="232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exclude any Commercialization activities.</w:t>
            </w:r>
          </w:p>
        </w:tc>
      </w:tr>
      <w:tr>
        <w:trPr>
          <w:trHeight w:val="414"/>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Drug Approval Application</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any country in the Territory, an application for Marketing Authorization for a Product in such country, including: (a) an</w:t>
            </w:r>
          </w:p>
        </w:tc>
      </w:tr>
      <w:tr>
        <w:trPr>
          <w:trHeight w:val="216"/>
        </w:trPr>
        <w:tc>
          <w:tcPr>
            <w:tcW w:w="2320" w:type="dxa"/>
            <w:vAlign w:val="bottom"/>
          </w:tcPr>
          <w:p>
            <w:pPr>
              <w:spacing w:after="0"/>
              <w:rPr>
                <w:sz w:val="18"/>
                <w:szCs w:val="18"/>
                <w:color w:val="auto"/>
              </w:rPr>
            </w:pP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BLA or MAA; (b) a counterpart of an BLA or MAA in such country; and (c) all renewals, supplements and amendments</w:t>
            </w:r>
          </w:p>
        </w:tc>
      </w:tr>
      <w:tr>
        <w:trPr>
          <w:trHeight w:val="234"/>
        </w:trPr>
        <w:tc>
          <w:tcPr>
            <w:tcW w:w="2320" w:type="dxa"/>
            <w:vAlign w:val="bottom"/>
          </w:tcPr>
          <w:p>
            <w:pPr>
              <w:spacing w:after="0"/>
              <w:rPr>
                <w:sz w:val="20"/>
                <w:szCs w:val="20"/>
                <w:color w:val="auto"/>
              </w:rPr>
            </w:pP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any of the foregoing.</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European Medicines Agency or any successor agency or authority thereto.</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FDA</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United States Food and Drug Administration, or any successor agency or authority thereto.</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FDCA</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United States Federal Food, Drug, and Cosmetic Act, as amended.</w:t>
            </w:r>
          </w:p>
        </w:tc>
      </w:tr>
      <w:tr>
        <w:trPr>
          <w:trHeight w:val="414"/>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Field</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treatment of the following diseases in humans:</w:t>
            </w:r>
          </w:p>
        </w:tc>
      </w:tr>
      <w:tr>
        <w:trPr>
          <w:trHeight w:val="216"/>
        </w:trPr>
        <w:tc>
          <w:tcPr>
            <w:tcW w:w="232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(1)</w:t>
            </w: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NR2E3 Mutation-Associated Retinal Degeneration;</w:t>
            </w:r>
          </w:p>
        </w:tc>
      </w:tr>
      <w:tr>
        <w:trPr>
          <w:trHeight w:val="216"/>
        </w:trPr>
        <w:tc>
          <w:tcPr>
            <w:tcW w:w="232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(2)</w:t>
            </w: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Leber Congenital Amaurosis (LCA);</w:t>
            </w:r>
          </w:p>
        </w:tc>
      </w:tr>
      <w:tr>
        <w:trPr>
          <w:trHeight w:val="216"/>
        </w:trPr>
        <w:tc>
          <w:tcPr>
            <w:tcW w:w="232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(3)</w:t>
            </w: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Bardet-Biedl Syndrome (BBS);</w:t>
            </w:r>
          </w:p>
        </w:tc>
      </w:tr>
      <w:tr>
        <w:trPr>
          <w:trHeight w:val="234"/>
        </w:trPr>
        <w:tc>
          <w:tcPr>
            <w:tcW w:w="23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(4)</w:t>
            </w:r>
          </w:p>
        </w:tc>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Rhodopsin Mutation — Associated Retinal Degeneration</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Commercial Sale</w:t>
            </w:r>
          </w:p>
        </w:tc>
        <w:tc>
          <w:tcPr>
            <w:tcW w:w="9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any country in the Territory, the first sale, transfer or disposition for value to an end user of a Product in such</w:t>
            </w:r>
          </w:p>
        </w:tc>
      </w:tr>
      <w:tr>
        <w:trPr>
          <w:trHeight w:val="432"/>
        </w:trPr>
        <w:tc>
          <w:tcPr>
            <w:tcW w:w="2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6</w:t>
            </w:r>
          </w:p>
        </w:tc>
      </w:tr>
      <w:tr>
        <w:trPr>
          <w:trHeight w:val="132"/>
        </w:trPr>
        <w:tc>
          <w:tcPr>
            <w:tcW w:w="23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8"/>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country after Marketing Authorization for such Product has been received in that country;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following</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shall not constitute a First Commercial Sale: (a) any sale of such Product by a Party or its Affiliate to another Affiliate of</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such Party; (b) any use of such Product in Clinical Trials, pre-clinical studies or other research or Development activities;</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 (c) transfer of such Product for a bona fide charitable purpose, including compassionate use and/or “named patient</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Force Majeure</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occurrence beyond the reasonable control of a Party that (a) prevents or substantially interferes with the performance</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such Party of any of its obligations hereunder, and (b) occurs by reason of any act of God, flood, fire, explosion,</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earthquake, casualty or accident, or war, revolution, civil commotion, act of terrorism, blockage or embargo, labor dispute,</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 any injunction, law, order, proclamation, regulation, ordinance, demand or requirement of any Governmental Authority</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 of any subdivision, authority or representative of any such Governmental Authority.</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Governmental Authority</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multi-national, federal, state, local, municipal, provincial or other governmental authority of any nature (including any</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governmental division, prefecture, subdivision, department, agency, bureau, branch, office, commission, council, court or</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tribunal).</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An Investigational New Drug Application as defined in the FDCA and regulations promulgated thereunder or any</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successor application or procedure required to initiate clinical testing of a Product in humans in the United States; (b) an</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equivalent of an Investigational New Drug Application that is required in any other country or region in the Territory</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before beginning clinical testing of such Product in humans in such country or region; and (c) all supplements and</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amendments to any of the foregoing.</w:t>
            </w:r>
          </w:p>
        </w:tc>
      </w:tr>
      <w:tr>
        <w:trPr>
          <w:trHeight w:val="432"/>
        </w:trPr>
        <w:tc>
          <w:tcPr>
            <w:tcW w:w="2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7</w:t>
            </w:r>
          </w:p>
        </w:tc>
      </w:tr>
      <w:tr>
        <w:trPr>
          <w:trHeight w:val="132"/>
        </w:trPr>
        <w:tc>
          <w:tcPr>
            <w:tcW w:w="2220" w:type="dxa"/>
            <w:vAlign w:val="bottom"/>
            <w:tcBorders>
              <w:bottom w:val="single" w:sz="8" w:color="808080"/>
            </w:tcBorders>
          </w:tcPr>
          <w:p>
            <w:pPr>
              <w:spacing w:after="0"/>
              <w:rPr>
                <w:sz w:val="11"/>
                <w:szCs w:val="11"/>
                <w:color w:val="auto"/>
              </w:rPr>
            </w:pPr>
          </w:p>
        </w:tc>
        <w:tc>
          <w:tcPr>
            <w:tcW w:w="92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Program Patent Rights</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Patent Rights that contain one or more claims to the Joint Program Technology or Joint Program Materials.</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Program Materials</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tangible chemical, biological or physical materials that are controlled by a Party or its Affiliates and that are collected,</w:t>
            </w:r>
          </w:p>
        </w:tc>
      </w:tr>
      <w:tr>
        <w:trPr>
          <w:trHeight w:val="234"/>
        </w:trPr>
        <w:tc>
          <w:tcPr>
            <w:tcW w:w="238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conceived, generated, developed or reduced to practice in the conduct of the Development Program.</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Program Technology</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(a) Technology that is conceived or first reduced to practice (actually or constructively), whether or not patentable, by</w:t>
            </w:r>
          </w:p>
        </w:tc>
      </w:tr>
      <w:tr>
        <w:trPr>
          <w:trHeight w:val="216"/>
        </w:trPr>
        <w:tc>
          <w:tcPr>
            <w:tcW w:w="238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on behalf of Ocugen and/or CanSino and/or their respective Affiliates, whether alone, jointly, or jointly with any third</w:t>
            </w:r>
          </w:p>
        </w:tc>
      </w:tr>
      <w:tr>
        <w:trPr>
          <w:trHeight w:val="216"/>
        </w:trPr>
        <w:tc>
          <w:tcPr>
            <w:tcW w:w="238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party (including any subcontractors or consultants to Ocugen and/or CanSino and/or their respective Affiliates) in the</w:t>
            </w:r>
          </w:p>
        </w:tc>
      </w:tr>
      <w:tr>
        <w:trPr>
          <w:trHeight w:val="216"/>
        </w:trPr>
        <w:tc>
          <w:tcPr>
            <w:tcW w:w="238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or otherwise in connection with the Development Program, and (b) modification of, or an improvement to the</w:t>
            </w:r>
          </w:p>
        </w:tc>
      </w:tr>
      <w:tr>
        <w:trPr>
          <w:trHeight w:val="234"/>
        </w:trPr>
        <w:tc>
          <w:tcPr>
            <w:tcW w:w="238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set forth in clause (a).</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Manufacture</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activities related to the production, manufacture, processing, filling, finishing, packaging, labeling, release, shipping,</w:t>
            </w:r>
          </w:p>
        </w:tc>
      </w:tr>
      <w:tr>
        <w:trPr>
          <w:trHeight w:val="212"/>
        </w:trPr>
        <w:tc>
          <w:tcPr>
            <w:tcW w:w="238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 conduct of Manufacture Process Development, stability testing, quality assurance and quality control of a Product</w:t>
            </w:r>
          </w:p>
        </w:tc>
      </w:tr>
      <w:tr>
        <w:trPr>
          <w:trHeight w:val="216"/>
        </w:trPr>
        <w:tc>
          <w:tcPr>
            <w:tcW w:w="238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any intermediate thereof. When used as a verb,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to engage in Manufacture and</w:t>
            </w:r>
          </w:p>
        </w:tc>
      </w:tr>
      <w:tr>
        <w:trPr>
          <w:trHeight w:val="238"/>
        </w:trPr>
        <w:tc>
          <w:tcPr>
            <w:tcW w:w="238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Manufactured</w:t>
            </w:r>
            <w:r>
              <w:rPr>
                <w:rFonts w:ascii="Times New Roman" w:cs="Times New Roman" w:eastAsia="Times New Roman" w:hAnsi="Times New Roman"/>
                <w:sz w:val="18"/>
                <w:szCs w:val="18"/>
                <w:color w:val="auto"/>
              </w:rPr>
              <w:t>” has a corresponding meaning.</w:t>
            </w:r>
          </w:p>
        </w:tc>
      </w:tr>
      <w:tr>
        <w:trPr>
          <w:trHeight w:val="41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Manufacture Process</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process development, process qualification, and validation and scale-up of the process to manufacture a Product and</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analytic development and product characterization with respect thereto.</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Marketing Authorization</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Regulatory Approval issued in respect of a Drug Approval Application filed by a Party or any of its Affiliates that</w:t>
            </w:r>
          </w:p>
        </w:tc>
      </w:tr>
      <w:tr>
        <w:trPr>
          <w:trHeight w:val="234"/>
        </w:trPr>
        <w:tc>
          <w:tcPr>
            <w:tcW w:w="238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allows the marketing and sale of a Product for use in the Field in a country or region in the Territory.</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gross amount billed or invoiced by a Party or any of its Affiliates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to third parties throughout the</w:t>
            </w:r>
          </w:p>
        </w:tc>
      </w:tr>
      <w:tr>
        <w:trPr>
          <w:trHeight w:val="234"/>
        </w:trPr>
        <w:tc>
          <w:tcPr>
            <w:tcW w:w="238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applicable Territory for sales or other dispositions or transfers</w:t>
            </w:r>
          </w:p>
        </w:tc>
      </w:tr>
      <w:tr>
        <w:trPr>
          <w:trHeight w:val="432"/>
        </w:trPr>
        <w:tc>
          <w:tcPr>
            <w:tcW w:w="2380" w:type="dxa"/>
            <w:vAlign w:val="bottom"/>
          </w:tcPr>
          <w:p>
            <w:pPr>
              <w:spacing w:after="0"/>
              <w:rPr>
                <w:sz w:val="24"/>
                <w:szCs w:val="24"/>
                <w:color w:val="auto"/>
              </w:rPr>
            </w:pPr>
          </w:p>
        </w:tc>
        <w:tc>
          <w:tcPr>
            <w:tcW w:w="90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8</w:t>
            </w:r>
          </w:p>
        </w:tc>
      </w:tr>
      <w:tr>
        <w:trPr>
          <w:trHeight w:val="132"/>
        </w:trPr>
        <w:tc>
          <w:tcPr>
            <w:tcW w:w="2380" w:type="dxa"/>
            <w:vAlign w:val="bottom"/>
            <w:tcBorders>
              <w:bottom w:val="single" w:sz="8" w:color="808080"/>
            </w:tcBorders>
          </w:tcPr>
          <w:p>
            <w:pPr>
              <w:spacing w:after="0"/>
              <w:rPr>
                <w:sz w:val="11"/>
                <w:szCs w:val="11"/>
                <w:color w:val="auto"/>
              </w:rPr>
            </w:pPr>
          </w:p>
        </w:tc>
        <w:tc>
          <w:tcPr>
            <w:tcW w:w="9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01" w:name="page102"/>
    <w:bookmarkEnd w:id="101"/>
    <w:p>
      <w:pPr>
        <w:ind w:left="1340" w:right="60"/>
        <w:spacing w:after="0" w:line="255" w:lineRule="auto"/>
        <w:rPr>
          <w:sz w:val="20"/>
          <w:szCs w:val="20"/>
          <w:color w:val="auto"/>
        </w:rPr>
      </w:pPr>
      <w:r>
        <w:rPr>
          <w:rFonts w:ascii="Times New Roman" w:cs="Times New Roman" w:eastAsia="Times New Roman" w:hAnsi="Times New Roman"/>
          <w:sz w:val="18"/>
          <w:szCs w:val="18"/>
          <w:color w:val="auto"/>
        </w:rPr>
        <w:t>for value of a Product less: (a) allowances for normal and customary trade, quantity and cash discounts actually allowed and taken; (b) transportation, insurance, postage charges and customs duties, if included on Seller’s bill or invoice or as a separate item; (c) amounts repaid or credited by reason of rejections, defects, recalls or returns or because of retroactive price reductions or wholesaler chargebacks; (d) rebates, chargebacks and discounts to managed care organizations, and other group purchasing organizations, to the extent actually allowed; and (e) sales, use, value added and excise taxes, tariffs and duties and other taxes and government charges directly related to the sale, transportation or delivery of such Product, as applicable (but not including taxes assessed against the income derived from such sale). In addition, Net Sales are subject to the following:</w:t>
      </w:r>
    </w:p>
    <w:p>
      <w:pPr>
        <w:spacing w:after="0" w:line="185" w:lineRule="exact"/>
        <w:rPr>
          <w:sz w:val="20"/>
          <w:szCs w:val="20"/>
          <w:color w:val="auto"/>
        </w:rPr>
      </w:pPr>
    </w:p>
    <w:p>
      <w:pPr>
        <w:ind w:left="1340" w:hanging="6"/>
        <w:spacing w:after="0" w:line="258" w:lineRule="auto"/>
        <w:tabs>
          <w:tab w:leader="none" w:pos="15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Seller effects a sale, disposition or transfer of a Product to a customer in a country other than on customary commercial terms or as part of a package of products and services, the Net Sales of such Product to such customer shall be deemed to be “the fair market value” of such Product. For purposes of this subsection (i), “fair market value” means the value that would have been derived had such Product been sold as a separate product to another customer in the applicable country on customary commercial terms.</w:t>
      </w:r>
    </w:p>
    <w:p>
      <w:pPr>
        <w:spacing w:after="0" w:line="183" w:lineRule="exact"/>
        <w:rPr>
          <w:rFonts w:ascii="Times New Roman" w:cs="Times New Roman" w:eastAsia="Times New Roman" w:hAnsi="Times New Roman"/>
          <w:sz w:val="18"/>
          <w:szCs w:val="18"/>
          <w:color w:val="auto"/>
        </w:rPr>
      </w:pPr>
    </w:p>
    <w:p>
      <w:pPr>
        <w:ind w:left="1340" w:right="60" w:hanging="6"/>
        <w:spacing w:after="0" w:line="258" w:lineRule="auto"/>
        <w:tabs>
          <w:tab w:leader="none" w:pos="16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definition, “sale” shall mean any transfer or other distribution or disposition, but shall not include transfers or other distributions or dispositions of such Product at no charge for academic research, preclinical, clinical, or regulatory purposes (including the use of such Product in Clinical Trials) or at no charge in connection with patient assistance programs or other charitable purposes or to physicians or hospitals for promotional purposes (including free samples to a level and in an amount which is customary</w:t>
      </w:r>
    </w:p>
    <w:p>
      <w:pPr>
        <w:spacing w:after="0" w:line="1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60"/>
          </w:cols>
          <w:pgMar w:left="1440" w:top="337" w:right="2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 the industry and/or which is reasonably proportional to the market for such Product).</w:t>
            </w:r>
          </w:p>
        </w:tc>
        <w:tc>
          <w:tcPr>
            <w:tcW w:w="0" w:type="dxa"/>
            <w:vAlign w:val="bottom"/>
          </w:tcPr>
          <w:p>
            <w:pPr>
              <w:spacing w:after="0"/>
              <w:rPr>
                <w:sz w:val="1"/>
                <w:szCs w:val="1"/>
                <w:color w:val="auto"/>
              </w:rPr>
            </w:pPr>
          </w:p>
        </w:tc>
      </w:tr>
      <w:tr>
        <w:trPr>
          <w:trHeight w:val="412"/>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OCU400</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novel gene therapy known as OCU400 (NR2E3-AAV), consisting of a functional copy of the nuclear hormone</w:t>
            </w: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xml:space="preserve">receptor gene,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delivered to target cells in the retina using an adeno-associated viral vector.</w:t>
            </w:r>
          </w:p>
        </w:tc>
        <w:tc>
          <w:tcPr>
            <w:tcW w:w="0" w:type="dxa"/>
            <w:vAlign w:val="bottom"/>
          </w:tcPr>
          <w:p>
            <w:pPr>
              <w:spacing w:after="0"/>
              <w:rPr>
                <w:sz w:val="1"/>
                <w:szCs w:val="1"/>
                <w:color w:val="auto"/>
              </w:rPr>
            </w:pPr>
          </w:p>
        </w:tc>
      </w:tr>
      <w:tr>
        <w:trPr>
          <w:trHeight w:val="410"/>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Ocugen Development</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All Development activities to be conducted by or on behalf of Ocugen with respect to the Development Program as</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specified in the Development Plan pursuant to this Agreement.</w:t>
            </w: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Ocugen Patent Rights</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Patent Rights that contain one or more claims to the Ocugen Technology, which as of the Effective Date are set forth</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934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auto"/>
              </w:rPr>
              <w:t>in Schedule 1.</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Ocugen Technology</w:t>
            </w: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20" w:type="dxa"/>
            <w:vAlign w:val="bottom"/>
            <w:vMerge w:val="continue"/>
          </w:tcPr>
          <w:p>
            <w:pPr>
              <w:spacing w:after="0"/>
              <w:rPr>
                <w:sz w:val="24"/>
                <w:szCs w:val="24"/>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Any Technology that (a) is necessary for the conduct of the Development Program, and (b) (i) is Controlled by Ocugen or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its Affiliates as of the Effective Date or (ii) is Controlled by Ocugen or its Affiliates during the Term and conceived or first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reduced to practice by Ocugen or its Affiliates or employees or subcontractors of, consultants to, or collaborators with</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Ocugen or its Affiliates outside of the conduct of the Development Program, or that otherwise relates to a Product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(including its composition of matter, formulation, method of delivery or use, and/or its Manufacture). For clarity, Ocugen</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Technology shall exclude any Joint Program Technology.</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Ocugen Territory</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entire world, excluding the CanSino Territory.</w:t>
            </w: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Period</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period beginning on the date the first IND for the first Product in the Field in the Ocugen Territory is filed with the</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appropriate Regulatory Authority in the Ocugen Territory and ending ninety (90) days thereafter.</w:t>
            </w: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Patent Rights</w:t>
            </w: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rights and interests in and to issued patents and pending patent applications (which, for purposes of this Agreement,</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93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include certificates of invention, applications for certificates of invention and priority rights) in any country or region,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9340" w:type="dxa"/>
            <w:vAlign w:val="bottom"/>
            <w:gridSpan w:val="3"/>
          </w:tcPr>
          <w:p>
            <w:pPr>
              <w:ind w:left="35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32"/>
        </w:trPr>
        <w:tc>
          <w:tcPr>
            <w:tcW w:w="2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9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including all provisional applications, substitutions, continuations, continuations-in-part, divisions, renewals, all letters</w:t>
            </w:r>
          </w:p>
        </w:tc>
      </w:tr>
      <w:tr>
        <w:trPr>
          <w:trHeight w:val="216"/>
        </w:trPr>
        <w:tc>
          <w:tcPr>
            <w:tcW w:w="210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patent granted thereon, and all reissues, re-examinations and extensions thereof, and all foreign counterparts of any of the</w:t>
            </w:r>
          </w:p>
        </w:tc>
      </w:tr>
      <w:tr>
        <w:trPr>
          <w:trHeight w:val="234"/>
        </w:trPr>
        <w:tc>
          <w:tcPr>
            <w:tcW w:w="2100" w:type="dxa"/>
            <w:vAlign w:val="bottom"/>
          </w:tcPr>
          <w:p>
            <w:pPr>
              <w:spacing w:after="0"/>
              <w:rPr>
                <w:sz w:val="20"/>
                <w:szCs w:val="20"/>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foregoing, and also including any and all utility models and registered designs.</w:t>
            </w:r>
          </w:p>
        </w:tc>
      </w:tr>
      <w:tr>
        <w:trPr>
          <w:trHeight w:val="414"/>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Permits</w:t>
            </w: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necessary consents, approvals and authorizations of all Governmental Authorities, Regulatory Authorities or other</w:t>
            </w:r>
          </w:p>
        </w:tc>
      </w:tr>
      <w:tr>
        <w:trPr>
          <w:trHeight w:val="216"/>
        </w:trPr>
        <w:tc>
          <w:tcPr>
            <w:tcW w:w="210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Persons in connection with the Development, use, importation, promotion, marketing, sale or supply of Products in each</w:t>
            </w:r>
          </w:p>
        </w:tc>
      </w:tr>
      <w:tr>
        <w:trPr>
          <w:trHeight w:val="234"/>
        </w:trPr>
        <w:tc>
          <w:tcPr>
            <w:tcW w:w="2100" w:type="dxa"/>
            <w:vAlign w:val="bottom"/>
          </w:tcPr>
          <w:p>
            <w:pPr>
              <w:spacing w:after="0"/>
              <w:rPr>
                <w:sz w:val="20"/>
                <w:szCs w:val="20"/>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country and region of the applicable Territory.</w:t>
            </w:r>
          </w:p>
        </w:tc>
      </w:tr>
      <w:tr>
        <w:trPr>
          <w:trHeight w:val="414"/>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 individual, sole proprietorship, partnership, limited partnership, limited liability partnership, corporation, limited</w:t>
            </w:r>
          </w:p>
        </w:tc>
      </w:tr>
      <w:tr>
        <w:trPr>
          <w:trHeight w:val="216"/>
        </w:trPr>
        <w:tc>
          <w:tcPr>
            <w:tcW w:w="210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liability company, business trust, joint stock company, trust, incorporated association, joint venture or similar entity or</w:t>
            </w:r>
          </w:p>
        </w:tc>
      </w:tr>
      <w:tr>
        <w:trPr>
          <w:trHeight w:val="234"/>
        </w:trPr>
        <w:tc>
          <w:tcPr>
            <w:tcW w:w="2100" w:type="dxa"/>
            <w:vAlign w:val="bottom"/>
          </w:tcPr>
          <w:p>
            <w:pPr>
              <w:spacing w:after="0"/>
              <w:rPr>
                <w:sz w:val="20"/>
                <w:szCs w:val="20"/>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organization, including a government or political subdivision, department or agency of a government.</w:t>
            </w:r>
          </w:p>
        </w:tc>
      </w:tr>
      <w:tr>
        <w:trPr>
          <w:trHeight w:val="432"/>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1 Clinical Trial</w:t>
            </w: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human clinical trial for a Product in any country that would satisfy the requirements of 21 C.F.R. § 312.21(a).</w:t>
            </w:r>
          </w:p>
        </w:tc>
      </w:tr>
      <w:tr>
        <w:trPr>
          <w:trHeight w:val="414"/>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2 Clinical Trial</w:t>
            </w: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human clinical trial conducted in any country that would satisfy the requirements of 21 C.F.R. § 312.21(b) and is</w:t>
            </w:r>
          </w:p>
        </w:tc>
      </w:tr>
      <w:tr>
        <w:trPr>
          <w:trHeight w:val="216"/>
        </w:trPr>
        <w:tc>
          <w:tcPr>
            <w:tcW w:w="210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intended to explore one or more doses, dose responses, and duration of effect, and to generate initial evidence of clinical</w:t>
            </w:r>
          </w:p>
        </w:tc>
      </w:tr>
      <w:tr>
        <w:trPr>
          <w:trHeight w:val="234"/>
        </w:trPr>
        <w:tc>
          <w:tcPr>
            <w:tcW w:w="2100" w:type="dxa"/>
            <w:vAlign w:val="bottom"/>
          </w:tcPr>
          <w:p>
            <w:pPr>
              <w:spacing w:after="0"/>
              <w:rPr>
                <w:sz w:val="20"/>
                <w:szCs w:val="20"/>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activity and safety, for a Product in the target patient population.</w:t>
            </w:r>
          </w:p>
        </w:tc>
      </w:tr>
      <w:tr>
        <w:trPr>
          <w:trHeight w:val="414"/>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Phase 3 Clinical Trial</w:t>
            </w: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clinical trial in an extended human patient population designed to obtain data determining efficacy and safety of a</w:t>
            </w:r>
          </w:p>
        </w:tc>
      </w:tr>
      <w:tr>
        <w:trPr>
          <w:trHeight w:val="216"/>
        </w:trPr>
        <w:tc>
          <w:tcPr>
            <w:tcW w:w="210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to support Marketing Authorization in the proposed therapeutic indication, as more fully defined in 21 C.F.R.</w:t>
            </w:r>
          </w:p>
        </w:tc>
      </w:tr>
      <w:tr>
        <w:trPr>
          <w:trHeight w:val="234"/>
        </w:trPr>
        <w:tc>
          <w:tcPr>
            <w:tcW w:w="2100" w:type="dxa"/>
            <w:vAlign w:val="bottom"/>
          </w:tcPr>
          <w:p>
            <w:pPr>
              <w:spacing w:after="0"/>
              <w:rPr>
                <w:sz w:val="20"/>
                <w:szCs w:val="20"/>
                <w:color w:val="auto"/>
              </w:rPr>
            </w:pPr>
          </w:p>
        </w:tc>
        <w:tc>
          <w:tcPr>
            <w:tcW w:w="9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§312.21(c), or its successor regulation, or the equivalent in any foreign country.</w:t>
            </w:r>
          </w:p>
        </w:tc>
      </w:tr>
      <w:tr>
        <w:trPr>
          <w:trHeight w:val="432"/>
        </w:trPr>
        <w:tc>
          <w:tcPr>
            <w:tcW w:w="2100" w:type="dxa"/>
            <w:vAlign w:val="bottom"/>
          </w:tcPr>
          <w:p>
            <w:pPr>
              <w:spacing w:after="0"/>
              <w:rPr>
                <w:sz w:val="24"/>
                <w:szCs w:val="24"/>
                <w:color w:val="auto"/>
              </w:rPr>
            </w:pPr>
          </w:p>
        </w:tc>
        <w:tc>
          <w:tcPr>
            <w:tcW w:w="93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11</w:t>
            </w:r>
          </w:p>
        </w:tc>
      </w:tr>
      <w:tr>
        <w:trPr>
          <w:trHeight w:val="132"/>
        </w:trPr>
        <w:tc>
          <w:tcPr>
            <w:tcW w:w="2100" w:type="dxa"/>
            <w:vAlign w:val="bottom"/>
            <w:tcBorders>
              <w:bottom w:val="single" w:sz="8" w:color="808080"/>
            </w:tcBorders>
          </w:tcPr>
          <w:p>
            <w:pPr>
              <w:spacing w:after="0"/>
              <w:rPr>
                <w:sz w:val="11"/>
                <w:szCs w:val="11"/>
                <w:color w:val="auto"/>
              </w:rPr>
            </w:pPr>
          </w:p>
        </w:tc>
        <w:tc>
          <w:tcPr>
            <w:tcW w:w="9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 any country of the Territory, any biopharmaceutical preparation, substance, formulation or product comprised, in whole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or in part, of OCU400 (or any modification or derivative thereof).</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Trademark</w:t>
            </w: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Any trademark used by a Party in connection with the Commercialization of a Product in the applicable Territory.</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Approval</w:t>
            </w: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With respect to any country or region in the Territory, any approval, registration or authorization of any Regulatory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Authority required for the Manufacture, use, storage, transport or Commercialization of a Product for use in the Field in</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such country or region.</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Authority</w:t>
            </w: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Any national, international, regional, state or local regulatory agency, department, bureau, commission, council or other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governmental entity with authority over the distribution, importation, exportation, Manufacture, production, use, storage,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transport, clinical testing, pricing, sale or reimbursement of a Product in the applicable Territory, including in the case of</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Ocugen Territory, the FDA and the EMA.</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w:t>
            </w: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Schepens Eye Research Institute, Inc., a Massachusetts non-profit organization having a principal place of business at</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20 Staniford Street, Boston, MA 02114, USA.</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 Agreement</w:t>
            </w: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Exclusive License Agreement, effective as of December 19, 2017, between SERI and Ocugen, a partially redacted</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9320" w:type="dxa"/>
            <w:vAlign w:val="bottom"/>
            <w:gridSpan w:val="3"/>
          </w:tcPr>
          <w:p>
            <w:pPr>
              <w:ind w:left="400"/>
              <w:spacing w:after="0" w:line="194" w:lineRule="exact"/>
              <w:rPr>
                <w:sz w:val="20"/>
                <w:szCs w:val="20"/>
                <w:color w:val="auto"/>
              </w:rPr>
            </w:pPr>
            <w:r>
              <w:rPr>
                <w:rFonts w:ascii="Times New Roman" w:cs="Times New Roman" w:eastAsia="Times New Roman" w:hAnsi="Times New Roman"/>
                <w:sz w:val="18"/>
                <w:szCs w:val="18"/>
                <w:color w:val="auto"/>
              </w:rPr>
              <w:t>copy of which is attached hereto as Exhibit B.</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Serious Adverse Event</w:t>
            </w:r>
          </w:p>
        </w:tc>
        <w:tc>
          <w:tcPr>
            <w:tcW w:w="2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40" w:type="dxa"/>
            <w:vAlign w:val="bottom"/>
            <w:vMerge w:val="continue"/>
          </w:tcPr>
          <w:p>
            <w:pPr>
              <w:spacing w:after="0"/>
              <w:rPr>
                <w:sz w:val="24"/>
                <w:szCs w:val="24"/>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Any Adverse Event that results in death, is life-threatening, requires inpatient hospitalization or prolongation of existing</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hospitalization, results in persistent or significant disability or incapacity, or is a congenital anomaly/birth defect, as</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3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defined more fully in 21 C.F.R. § 312.32.</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4"/>
                <w:szCs w:val="24"/>
                <w:color w:val="auto"/>
              </w:rPr>
            </w:pPr>
          </w:p>
        </w:tc>
        <w:tc>
          <w:tcPr>
            <w:tcW w:w="932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32"/>
        </w:trPr>
        <w:tc>
          <w:tcPr>
            <w:tcW w:w="21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5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Development</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of the following material Development events: (a) any material interaction and/or written correspondence between a</w:t>
            </w:r>
          </w:p>
        </w:tc>
      </w:tr>
      <w:tr>
        <w:trPr>
          <w:trHeight w:val="220"/>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Event</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Party or any of its Affiliates and any Regulatory Authority with respect to a Product; or (b) any material event or result</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 respect to any Clinical Trial involving a Product.</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Collectively, data, results, technology, inventions, discoveries, improvements, trade secrets and proprietary methods,</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whether or not patentable and in any tangible or intangible form, including: (a) methods of manufacture or use of, and</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structural and functional information pertaining to, biologics; (b) compositions of matter, data, formulations, processes,</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techniques, know-how and results; and (c) unregistered design rights, copyright, database rights, rights in respect of</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confidential information, rights under data exclusivity laws, rights under orphan drug laws, rights under unfair competition</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laws, property rights in biological or chemical materials, extension of the terms of any such rights, applications for and the</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to apply any of the foregoing registered property and rights, and similar or analogous rights. For clarity, Technology</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excludes Patent Rights.</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Ocugen Territory and/or the CanSino Territory, as the context requires.</w:t>
            </w:r>
          </w:p>
        </w:tc>
      </w:tr>
      <w:tr>
        <w:trPr>
          <w:trHeight w:val="414"/>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Valid Claim</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claim of a pending patent application or an issued (or granted) and unexpired patent that (a) has not been finally</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cancelled, withdrawn, abandoned or rejected by any administrative agency or other body of competent jurisdiction, (b) has</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been permanently revoked, held invalid, or declared unpatentable or unenforceable in a decision of a court or other</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body of competent jurisdiction that is unappealable or unappealed within the time allowed for appeal, (c) has not been</w:t>
            </w:r>
          </w:p>
        </w:tc>
      </w:tr>
      <w:tr>
        <w:trPr>
          <w:trHeight w:val="216"/>
        </w:trPr>
        <w:tc>
          <w:tcPr>
            <w:tcW w:w="2220" w:type="dxa"/>
            <w:vAlign w:val="bottom"/>
          </w:tcPr>
          <w:p>
            <w:pPr>
              <w:spacing w:after="0"/>
              <w:rPr>
                <w:sz w:val="18"/>
                <w:szCs w:val="18"/>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rendered unenforceable through terminal disclaimer or otherwise, (d) is not lost through an interference proceeding, or</w:t>
            </w:r>
          </w:p>
        </w:tc>
      </w:tr>
      <w:tr>
        <w:trPr>
          <w:trHeight w:val="234"/>
        </w:trPr>
        <w:tc>
          <w:tcPr>
            <w:tcW w:w="2220" w:type="dxa"/>
            <w:vAlign w:val="bottom"/>
          </w:tcPr>
          <w:p>
            <w:pPr>
              <w:spacing w:after="0"/>
              <w:rPr>
                <w:sz w:val="20"/>
                <w:szCs w:val="20"/>
                <w:color w:val="auto"/>
              </w:rPr>
            </w:pP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equivalent, that is</w:t>
            </w:r>
          </w:p>
        </w:tc>
      </w:tr>
      <w:tr>
        <w:trPr>
          <w:trHeight w:val="432"/>
        </w:trPr>
        <w:tc>
          <w:tcPr>
            <w:tcW w:w="2220" w:type="dxa"/>
            <w:vAlign w:val="bottom"/>
          </w:tcPr>
          <w:p>
            <w:pPr>
              <w:spacing w:after="0"/>
              <w:rPr>
                <w:sz w:val="24"/>
                <w:szCs w:val="24"/>
                <w:color w:val="auto"/>
              </w:rPr>
            </w:pPr>
          </w:p>
        </w:tc>
        <w:tc>
          <w:tcPr>
            <w:tcW w:w="924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13</w:t>
            </w:r>
          </w:p>
        </w:tc>
      </w:tr>
      <w:tr>
        <w:trPr>
          <w:trHeight w:val="132"/>
        </w:trPr>
        <w:tc>
          <w:tcPr>
            <w:tcW w:w="2220" w:type="dxa"/>
            <w:vAlign w:val="bottom"/>
            <w:tcBorders>
              <w:bottom w:val="single" w:sz="8" w:color="808080"/>
            </w:tcBorders>
          </w:tcPr>
          <w:p>
            <w:pPr>
              <w:spacing w:after="0"/>
              <w:rPr>
                <w:sz w:val="11"/>
                <w:szCs w:val="11"/>
                <w:color w:val="auto"/>
              </w:rPr>
            </w:pPr>
          </w:p>
        </w:tc>
        <w:tc>
          <w:tcPr>
            <w:tcW w:w="92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06" w:name="page107"/>
    <w:bookmarkEnd w:id="106"/>
    <w:p>
      <w:pPr>
        <w:ind w:left="2540" w:right="320"/>
        <w:spacing w:after="0" w:line="266" w:lineRule="auto"/>
        <w:rPr>
          <w:sz w:val="20"/>
          <w:szCs w:val="20"/>
          <w:color w:val="auto"/>
        </w:rPr>
      </w:pPr>
      <w:r>
        <w:rPr>
          <w:rFonts w:ascii="Times New Roman" w:cs="Times New Roman" w:eastAsia="Times New Roman" w:hAnsi="Times New Roman"/>
          <w:sz w:val="18"/>
          <w:szCs w:val="18"/>
          <w:color w:val="auto"/>
        </w:rPr>
        <w:t>unappealable or unappealed within the time allowed for appeal, and (e) in the case of a claim in a pending patent application, has been pending for not more than seven (7) years after the date of filing of the earliest patent application claiming priority with respect to such claim.</w:t>
      </w:r>
    </w:p>
    <w:p>
      <w:pPr>
        <w:spacing w:after="0" w:line="172"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Rights</w:t>
      </w:r>
    </w:p>
    <w:p>
      <w:pPr>
        <w:spacing w:after="0" w:line="2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License Grants to CanSino; Option</w:t>
      </w:r>
      <w:r>
        <w:rPr>
          <w:rFonts w:ascii="Times New Roman" w:cs="Times New Roman" w:eastAsia="Times New Roman" w:hAnsi="Times New Roman"/>
          <w:sz w:val="18"/>
          <w:szCs w:val="18"/>
          <w:color w:val="auto"/>
        </w:rPr>
        <w:t>. Subject to the provisions of this Agreement, Ocugen hereby grants to CanSino:</w:t>
      </w:r>
    </w:p>
    <w:p>
      <w:pPr>
        <w:spacing w:after="0" w:line="225" w:lineRule="exact"/>
        <w:rPr>
          <w:sz w:val="20"/>
          <w:szCs w:val="20"/>
          <w:color w:val="auto"/>
        </w:rPr>
      </w:pPr>
    </w:p>
    <w:p>
      <w:pPr>
        <w:ind w:right="120" w:firstLine="656"/>
        <w:spacing w:after="0" w:line="282" w:lineRule="auto"/>
        <w:tabs>
          <w:tab w:leader="none" w:pos="113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(even as to Ocugen), non-sublicensable, royalty-bearing license under the Ocugen Technology and the Ocugen Patent Rights, to use, research, Develop, Manufacture and Commercialize Products in the Field in and for the CanSino Territory;</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14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(even as to Ocugen), royalty-bearing license, including the right to grant sublicenses solely as provided in Section 2.3, under Ocugen’s rights in the Joint Program Technology and Joint Program Patent Rights, to use, research, Develop, Manufacture and Commercialize Products in the Field in and for the CanSino Territory;</w:t>
      </w:r>
    </w:p>
    <w:p>
      <w:pPr>
        <w:spacing w:after="0" w:line="172"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option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exercisable during the Option Period in accordance with Section 2.4, to expand the license under</w:t>
      </w:r>
    </w:p>
    <w:p>
      <w:pPr>
        <w:spacing w:after="0" w:line="3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2.1(a) to include a non-exclusive, non-sublicensable, royalty-free license under the Ocugen Technology and the Ocugen Patent Rights, and</w:t>
      </w:r>
    </w:p>
    <w:p>
      <w:pPr>
        <w:spacing w:after="0" w:line="9" w:lineRule="exact"/>
        <w:rPr>
          <w:rFonts w:ascii="Times New Roman" w:cs="Times New Roman" w:eastAsia="Times New Roman" w:hAnsi="Times New Roman"/>
          <w:sz w:val="18"/>
          <w:szCs w:val="18"/>
          <w:color w:val="auto"/>
        </w:rPr>
      </w:pPr>
    </w:p>
    <w:p>
      <w:pPr>
        <w:ind w:right="60" w:firstLine="8"/>
        <w:spacing w:after="0" w:line="254"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2.1(b) to include a non-exclusive, non-sublicensable, royalty-free license under Ocugen’s rights in the Joint Program Technology and Joint Program Patent Rights, to Manufacture Products in the Field in the CanSino Territory for commercial sale by Ocugen or its Affiliates in the Ocugen Territory [***] following commercial launch of such Products in the Ocugen Territory [***], pursuant to the terms of a supply agreement to be negotiated by the Parties following CanSino’s exercise of the Option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40" w:right="80" w:hanging="323"/>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License Grant to Ocugen</w:t>
      </w:r>
      <w:r>
        <w:rPr>
          <w:rFonts w:ascii="Times New Roman" w:cs="Times New Roman" w:eastAsia="Times New Roman" w:hAnsi="Times New Roman"/>
          <w:sz w:val="18"/>
          <w:szCs w:val="18"/>
          <w:color w:val="auto"/>
        </w:rPr>
        <w:t>. Subject to the provisions of this Agreement, CanSino hereby grants to Ocugen an exclusive (even as to CanSino), sublicensable, royalty-bearing license under CanSino’s rights in the Joint Program Technology and Joint Program Patent Rights, to use, research, Develop, Manufacture and Commercialize Products in the Field in and for the Ocugen Territory; provided, that (a) sublicensing does not relieve Ocugen of any of its obligations under this Agreement and Ocugen shall remain responsible for the acts and omissions of such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7" w:name="page108"/>
    <w:bookmarkEnd w:id="107"/>
    <w:p>
      <w:pPr>
        <w:ind w:left="340" w:right="20"/>
        <w:spacing w:after="0" w:line="261" w:lineRule="auto"/>
        <w:rPr>
          <w:sz w:val="20"/>
          <w:szCs w:val="20"/>
          <w:color w:val="auto"/>
        </w:rPr>
      </w:pPr>
      <w:r>
        <w:rPr>
          <w:rFonts w:ascii="Times New Roman" w:cs="Times New Roman" w:eastAsia="Times New Roman" w:hAnsi="Times New Roman"/>
          <w:sz w:val="18"/>
          <w:szCs w:val="18"/>
          <w:color w:val="auto"/>
        </w:rPr>
        <w:t>Affiliate or third party in relation thereto; (b) Ocugen shall secure all appropriate covenants, obligations and rights from any such Affiliate or sublicensee, including licenses, assignment of intellectual property rights and confidentiality obligations, to ensure that such Affiliate or sublicensee is subject to, and can comply with, all of Ocugen’s covenants and obligations under this Agreement; and (c) Ocugen shall provide CanSino with a complete copy of the applicable sublicense agreement executed by Ocugen within fourteen (14) days after its execution.</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CanSino Right to Sublicense</w:t>
      </w:r>
      <w:r>
        <w:rPr>
          <w:rFonts w:ascii="Times New Roman" w:cs="Times New Roman" w:eastAsia="Times New Roman" w:hAnsi="Times New Roman"/>
          <w:sz w:val="18"/>
          <w:szCs w:val="18"/>
          <w:color w:val="auto"/>
        </w:rPr>
        <w:t>. CanSino shall have the right to grant sublicenses, in whole or in part, under the license granted to it under</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2.1(b) to any of its Affiliates or to any third party with the prior written consent of Ocugen,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sublicensing does not relieve CanSino of any of its obligations under this Agreement and CanSino shall remain responsible for the acts and omissions of such Affiliate or third party in relation thereto; (b) CanSino shall secure all appropriate covenants, obligations and rights from any such Affiliate or sublicensee, including licenses, assignment of intellectual property rights and confidentiality obligations, to ensure that such Affiliate or sublicensee is subject to, and can comply with, all of CanSino’s covenants and obligations under this Agreement; and (c) CanSino shall provide Ocugen with a complete copy of the applicable sublicense agreement executed by CanSino within fourteen (14) days after its execution.</w:t>
      </w:r>
    </w:p>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right="140" w:firstLine="8"/>
        <w:spacing w:after="0" w:line="268" w:lineRule="auto"/>
        <w:tabs>
          <w:tab w:leader="none" w:pos="3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CanSino may exercise the Option at any time during the Option Period by giving written notice of exercise to Ocugen (the “</w:t>
      </w:r>
      <w:r>
        <w:rPr>
          <w:rFonts w:ascii="Times New Roman" w:cs="Times New Roman" w:eastAsia="Times New Roman" w:hAnsi="Times New Roman"/>
          <w:sz w:val="18"/>
          <w:szCs w:val="18"/>
          <w:b w:val="1"/>
          <w:bCs w:val="1"/>
          <w:color w:val="auto"/>
        </w:rPr>
        <w:t>Option Exercise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CanSino determines that it shall not exercise the Option prior to expiration of the Option Period, it shall in good faith provide written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Ocugen promptly upon such determination.</w:t>
      </w:r>
    </w:p>
    <w:p>
      <w:pPr>
        <w:spacing w:after="0" w:line="174" w:lineRule="exact"/>
        <w:rPr>
          <w:rFonts w:ascii="Times New Roman" w:cs="Times New Roman" w:eastAsia="Times New Roman" w:hAnsi="Times New Roman"/>
          <w:sz w:val="18"/>
          <w:szCs w:val="18"/>
          <w:color w:val="auto"/>
        </w:rPr>
      </w:pPr>
    </w:p>
    <w:p>
      <w:pPr>
        <w:ind w:right="40" w:firstLine="8"/>
        <w:spacing w:after="0" w:line="266" w:lineRule="auto"/>
        <w:tabs>
          <w:tab w:leader="none" w:pos="3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 period following Ocugen’s receipt of the Option Exercise Notice, the Parties shall negotiate in good faith the terms of the Supply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period may be extended for [***] as mutually agreed by the Parties. Any Supply Agreement executed by the Parties shall provide, among other things, that the maximum purchase price payable by Ocugen for any Product manufactured and supplied thereunder shall not exceed [***].</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Ocugen Assistance</w:t>
      </w:r>
      <w:r>
        <w:rPr>
          <w:rFonts w:ascii="Times New Roman" w:cs="Times New Roman" w:eastAsia="Times New Roman" w:hAnsi="Times New Roman"/>
          <w:sz w:val="18"/>
          <w:szCs w:val="18"/>
          <w:color w:val="auto"/>
        </w:rPr>
        <w:t>. Ocugen shall provide CanSino with all documents, information and Data in its possession as reasonably requested by CanSino or that are otherwise necessary or useful for CanSino to conduct the CanSino Development Activities under Article 3, including without limitation all Joint Program Materials under the control of Ocugen.</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CanSino Assistance</w:t>
      </w:r>
      <w:r>
        <w:rPr>
          <w:rFonts w:ascii="Times New Roman" w:cs="Times New Roman" w:eastAsia="Times New Roman" w:hAnsi="Times New Roman"/>
          <w:sz w:val="18"/>
          <w:szCs w:val="18"/>
          <w:color w:val="auto"/>
        </w:rPr>
        <w:t>. CanSino shall provide Ocugen with all documents, information and Data in its possession as reasonably requested by Ocugen or that are otherwise necessary or useful for Ocugen to conduct the Ocugen Development Activities under Article 3, including without limitation all Joint Program Materials under the control of CanSino.</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SERI License</w:t>
      </w:r>
      <w:r>
        <w:rPr>
          <w:rFonts w:ascii="Times New Roman" w:cs="Times New Roman" w:eastAsia="Times New Roman" w:hAnsi="Times New Roman"/>
          <w:sz w:val="18"/>
          <w:szCs w:val="18"/>
          <w:color w:val="auto"/>
        </w:rPr>
        <w:t>. CanSino covenants and agrees that it shall comply at all times with Section 2.4 (Reserved Rights), Paragraphs 4.2.1 (Books and Records) and 4.2.2 (Inspections), Sections 5.2-5.6 (U.S. Manufacture, Other Government Laws, Patent Marking, Publicity, and Confidentiality), Article 6 (Patent Preparation, Filing, Prosecution and Maintenance), Article 7 (Patent Infringement and Enforcement), Paragraph 8.4.4 (Termination — Sublicenses), Article 9 (Indemnification, Defense and Insurance), Article 10 (Disclaimer of Warranties) and Article 12 (Dispute Resolution) of the SERI Agreement, which provisions are binding on CanSino in its capacity as Ocugen’s sublicensee under the SERI Agreement and are incorporated herein by reference. For the avoidance of doubt, all such provisions shall be binding on CanSino as and to the same extent they are binding on Ocugen or to the extent they are directly applicable to a sublicensee of Ocugen under the SERI Agreement in accordance with their terms. CanSino acknowledges and agrees that, pursuant to Section 2.5.2(d) of the SERI Agreement, CanSino does not have the right to grant further sublicenses of the rights granted by Ocugen to CanSino under Section 2.1(a) and Section 2.1(c) of this Agreement.</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Term, except as set forth in this Agreement, CanSino and its Affiliates shall not, directly or indirectly (with, for the benefit of, using, or with the sponsorship of, any third party) be permitted to research, Develop, Manufacture or Commercialize any preparation, substance, formulation or product that is competitive with or to a Product in the Field anywhere in the world, unless CanSino first obtains Ocugen’s written consent, which consent Ocugen may grant or withhold in its sole and absolute discretion.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9" w:name="page110"/>
    <w:bookmarkEnd w:id="109"/>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Co-Development of Products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Objectives and Implementation of Development Program</w:t>
      </w:r>
      <w:r>
        <w:rPr>
          <w:rFonts w:ascii="Times New Roman" w:cs="Times New Roman" w:eastAsia="Times New Roman" w:hAnsi="Times New Roman"/>
          <w:sz w:val="18"/>
          <w:szCs w:val="18"/>
          <w:color w:val="auto"/>
        </w:rPr>
        <w:t xml:space="preserve">. Consistent with the remaining terms and conditions of this Agreement, the Parties shall collaborate with one another in the Field during the Term as it relates to the Development of Products in and for their respective Territories in accordance with the Development Plan. The initial Development Plan, which describes the Ocugen Development Activities and the CanSino Development Activities to be carried out by the Parties in and for their respective Territories from the Effective Date through the end of calendar year [2020]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 the Parties shall jointly prepare an updated Development Plan and submit it to the JSC for its review and approval pursuant to Section 3.9. The Parties shall use Commercially Reasonable Efforts to collaborate on, prepare and submit each Development Plan to the JSC [***]. Any amendment, modification or update to any Development Plan shall be set forth in a written document prepared by one or both Parties and reviewed by the JSC, shall specifically state that it is an amendment, modification or update to the then-existing Development Plan and shall be sent to the JSC members no later than twenty (20) days prior to the meeting of the JSC at which such amendment, modification or update is to be reviewed and approved. For clarity, all Joint Program Technology and Joint Program Patent Rights shall be jointly owned by the Parties and each Party shall be free to practice such Joint Program Technology and Joint Program Patent Rights in its Territory, subject to any terms or conditions of this Agreement to the contrary.</w:t>
      </w:r>
    </w:p>
    <w:p>
      <w:pPr>
        <w:spacing w:after="0" w:line="19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Conduct of Development Program; Diligence</w:t>
      </w:r>
    </w:p>
    <w:p>
      <w:pPr>
        <w:spacing w:after="0" w:line="225" w:lineRule="exact"/>
        <w:rPr>
          <w:sz w:val="20"/>
          <w:szCs w:val="20"/>
          <w:color w:val="auto"/>
        </w:rPr>
      </w:pPr>
    </w:p>
    <w:p>
      <w:pPr>
        <w:ind w:right="380" w:firstLine="656"/>
        <w:spacing w:after="0" w:line="266" w:lineRule="auto"/>
        <w:tabs>
          <w:tab w:leader="none" w:pos="11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Ocugen Diligence</w:t>
      </w:r>
      <w:r>
        <w:rPr>
          <w:rFonts w:ascii="Times New Roman" w:cs="Times New Roman" w:eastAsia="Times New Roman" w:hAnsi="Times New Roman"/>
          <w:sz w:val="18"/>
          <w:szCs w:val="18"/>
          <w:color w:val="auto"/>
        </w:rPr>
        <w:t>. Ocugen shall use Commercially Reasonable Efforts to conduct the Ocugen Development Activities as set forth in the Development Plan and to bring one or more Products in the Field into commercial use in the Ocugen Territory as quickly as possible. Ocugen is solely responsible for the Development of Products in the Field in and for the Ocugen Territory in accordance with the Development Plan.</w:t>
      </w:r>
    </w:p>
    <w:p>
      <w:pPr>
        <w:spacing w:after="0" w:line="176" w:lineRule="exact"/>
        <w:rPr>
          <w:rFonts w:ascii="Times New Roman" w:cs="Times New Roman" w:eastAsia="Times New Roman" w:hAnsi="Times New Roman"/>
          <w:sz w:val="18"/>
          <w:szCs w:val="18"/>
          <w:color w:val="auto"/>
        </w:rPr>
      </w:pPr>
    </w:p>
    <w:p>
      <w:pPr>
        <w:ind w:right="200" w:firstLine="656"/>
        <w:spacing w:after="0" w:line="266" w:lineRule="auto"/>
        <w:tabs>
          <w:tab w:leader="none" w:pos="114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CanSino Diligence</w:t>
      </w:r>
      <w:r>
        <w:rPr>
          <w:rFonts w:ascii="Times New Roman" w:cs="Times New Roman" w:eastAsia="Times New Roman" w:hAnsi="Times New Roman"/>
          <w:sz w:val="18"/>
          <w:szCs w:val="18"/>
          <w:color w:val="auto"/>
        </w:rPr>
        <w:t>. CanSino shall use Commercially Reasonable Efforts to conduct the CanSino Development Activities as set forth in the Development Plan and to bring one or more Products in the Field into commercial use in the CanSino Territory as quickly as possible. CanSino is solely responsible for the Development of Products in the Field in and for the CanSino Territory in accordance with the Development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10" w:name="page111"/>
    <w:bookmarkEnd w:id="110"/>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Costs of Development</w:t>
      </w:r>
      <w:r>
        <w:rPr>
          <w:rFonts w:ascii="Times New Roman" w:cs="Times New Roman" w:eastAsia="Times New Roman" w:hAnsi="Times New Roman"/>
          <w:sz w:val="18"/>
          <w:szCs w:val="18"/>
          <w:color w:val="auto"/>
        </w:rPr>
        <w:t>. Ocugen is solely responsible for all costs and expenses associated with the performance of the Ocugen Development Activities and the Development of Products in the Field in and for the Ocugen Territory as set forth in the Development Plan, and CanSino is solely responsible for all costs and expenses associated with the performance of the CanSino Development Activities and the Development of Products in the Field in and for the CanSino Territory as set forth in the Development Plan.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Engagement of Third Party Contractors</w:t>
      </w:r>
      <w:r>
        <w:rPr>
          <w:rFonts w:ascii="Times New Roman" w:cs="Times New Roman" w:eastAsia="Times New Roman" w:hAnsi="Times New Roman"/>
          <w:sz w:val="18"/>
          <w:szCs w:val="18"/>
          <w:color w:val="auto"/>
        </w:rPr>
        <w:t xml:space="preserve">. A Party may engage third party contractors (but CanSino shall not be permitted to grant sublicenses under the Ocugen Technology or the Ocugen Patent Rights) to perform, as applicable, Ocugen Development Activities or CanSino Development Activities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any such subcontract, (a) the applicable third party contractor shall execute an agreement containing provisions that (i)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cooperation, records and reports, ownership, confidentiality and intellectual property provisions set forth in this Agreement, and (ii) assign any and all intellectual property rights discovered or invented by the third party contractor thereunder to Ocugen or CanSino, as applicable, and (b) such Party shall promptly provide the other Party with a copy of such subcontract upon its execution.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Party shall perform all Development activities for which it is responsible under the Development Plan in a good scientific manner and in compliance with all Applicable Laws.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Records and Reports</w:t>
      </w:r>
      <w:r>
        <w:rPr>
          <w:rFonts w:ascii="Times New Roman" w:cs="Times New Roman" w:eastAsia="Times New Roman" w:hAnsi="Times New Roman"/>
          <w:sz w:val="18"/>
          <w:szCs w:val="18"/>
          <w:color w:val="auto"/>
        </w:rPr>
        <w:t>. Each Party shall maintain complete and accurate records of its activities in respect of the Development Program in accordance with good business practices and in sufficient detail, including in sufficient detail for the purpose of making patent filings and regulatory filings, in good scientific manner, or otherwise in a manner that reflects all work done and results achieved. Each Party may review and copy such records at reasonable times, and upon reasonable notice. Each Party shall provide to the other Party, at least once each calendar quarter for as long as the Development Program is ongoing, a reasonably detailed report that summarizes: (a) all Development activities conducted and results obtained by such Party with respect to each Product during the most recently completed calendar quarter; and (b) any Significant Development Events applicable to such Product.</w:t>
      </w:r>
    </w:p>
    <w:p>
      <w:pPr>
        <w:spacing w:after="0" w:line="1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Manufacture and Supply of Products Prior to and After Regulatory Approval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20" w:firstLine="656"/>
        <w:spacing w:after="0" w:line="282" w:lineRule="auto"/>
        <w:tabs>
          <w:tab w:leader="none" w:pos="11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any supply agreement executed by the Parties, prior to Ocugen’s receipt of Regulatory Approval for a Product in the Field in a particular country or regulatory jurisdiction in the Ocugen Territory, CanSino shall be responsible, 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1" w:name="page112"/>
    <w:bookmarkEnd w:id="111"/>
    <w:p>
      <w:pPr>
        <w:spacing w:after="0" w:line="282" w:lineRule="auto"/>
        <w:rPr>
          <w:sz w:val="20"/>
          <w:szCs w:val="20"/>
          <w:color w:val="auto"/>
        </w:rPr>
      </w:pPr>
      <w:r>
        <w:rPr>
          <w:rFonts w:ascii="Times New Roman" w:cs="Times New Roman" w:eastAsia="Times New Roman" w:hAnsi="Times New Roman"/>
          <w:sz w:val="18"/>
          <w:szCs w:val="18"/>
          <w:color w:val="auto"/>
        </w:rPr>
        <w:t>accordance with the Development Plan or as may otherwise be agreed by the JSC, to Manufacture and supply Ocugen with such form and quantity of CTM as Ocugen requires to carry out Clinical Trials and other tests and to otherwise conduct Ocugen Development Activities anywhere in the Ocugen Territory.</w:t>
      </w:r>
    </w:p>
    <w:p>
      <w:pPr>
        <w:spacing w:after="0" w:line="162" w:lineRule="exact"/>
        <w:rPr>
          <w:sz w:val="20"/>
          <w:szCs w:val="20"/>
          <w:color w:val="auto"/>
        </w:rPr>
      </w:pPr>
    </w:p>
    <w:p>
      <w:pPr>
        <w:ind w:right="120" w:firstLine="656"/>
        <w:spacing w:after="0" w:line="258" w:lineRule="auto"/>
        <w:tabs>
          <w:tab w:leader="none" w:pos="114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Development Plan or in any supply agreement executed by the Parties, CanSino shall be responsible, at its sole cost and expense, for the Manufacture and supply of (i) such form and quantity of CTM as CanSino requires to carry out Clinical Trials and other tests and to otherwise conduct CanSino Development Activities anywhere in the CanSino Territory, and (ii) each finished Product in its commercial packaging presentation, for use by CanSino in the Field in each country or regulatory jurisdiction in the CanSino Territory after CanSino’s receipt of Regulatory Approval for such Product in such country or regulatory jurisdiction.</w:t>
      </w:r>
    </w:p>
    <w:p>
      <w:pPr>
        <w:spacing w:after="0" w:line="183" w:lineRule="exact"/>
        <w:rPr>
          <w:rFonts w:ascii="Times New Roman" w:cs="Times New Roman" w:eastAsia="Times New Roman" w:hAnsi="Times New Roman"/>
          <w:sz w:val="18"/>
          <w:szCs w:val="18"/>
          <w:color w:val="auto"/>
        </w:rPr>
      </w:pPr>
    </w:p>
    <w:p>
      <w:pPr>
        <w:ind w:right="100" w:firstLine="656"/>
        <w:spacing w:after="0" w:line="261" w:lineRule="auto"/>
        <w:tabs>
          <w:tab w:leader="none" w:pos="11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any supply agreement executed by the Parties, including the Supply Agreement, Ocugen shall be responsible, at its sole cost and expense, for the Manufacture and supply of each finished Product in its commercial packaging presentation, for use by Ocugen in the Field in each country or regulatory jurisdiction in the Ocugen Territory after Ocugen’s receipt of Regulatory Approval for such Product in such country or regulatory jurisdiction.</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Regulatory Filings/Approvals and Assistance</w:t>
      </w:r>
    </w:p>
    <w:p>
      <w:pPr>
        <w:spacing w:after="0" w:line="225" w:lineRule="exact"/>
        <w:rPr>
          <w:sz w:val="20"/>
          <w:szCs w:val="20"/>
          <w:color w:val="auto"/>
        </w:rPr>
      </w:pPr>
    </w:p>
    <w:p>
      <w:pPr>
        <w:ind w:right="240" w:firstLine="656"/>
        <w:spacing w:after="0" w:line="282" w:lineRule="auto"/>
        <w:tabs>
          <w:tab w:leader="none" w:pos="113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Commercially Reasonable Efforts to obtain in its own name Marketing Authorizations for the Products in its Territory, including, where applicable, obtaining accelerated review of each application for Marketing Authorization.</w:t>
      </w:r>
    </w:p>
    <w:p>
      <w:pPr>
        <w:spacing w:after="0" w:line="161" w:lineRule="exact"/>
        <w:rPr>
          <w:rFonts w:ascii="Times New Roman" w:cs="Times New Roman" w:eastAsia="Times New Roman" w:hAnsi="Times New Roman"/>
          <w:sz w:val="18"/>
          <w:szCs w:val="18"/>
          <w:color w:val="auto"/>
        </w:rPr>
      </w:pPr>
    </w:p>
    <w:p>
      <w:pPr>
        <w:ind w:right="20" w:firstLine="656"/>
        <w:spacing w:after="0" w:line="261" w:lineRule="auto"/>
        <w:tabs>
          <w:tab w:leader="none" w:pos="11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Ocugen shall have the sole right and responsibility for (i) preparing, filing and maintaining all regulatory filings and Regulatory Approvals for the Products in the Field in the name of Ocugen or any of its Affiliates, and (ii) reporting to Regulatory Authorities all Adverse Events and Serious Adverse Events to the extent required by Applicable Laws, in each case for and in respect of the Ocugen Territory. Ocugen shall solely and exclusively own all Regulatory Approvals obtained by Ocugen in and for the Ocugen Territory.</w:t>
      </w:r>
    </w:p>
    <w:p>
      <w:pPr>
        <w:spacing w:after="0" w:line="180" w:lineRule="exact"/>
        <w:rPr>
          <w:rFonts w:ascii="Times New Roman" w:cs="Times New Roman" w:eastAsia="Times New Roman" w:hAnsi="Times New Roman"/>
          <w:sz w:val="18"/>
          <w:szCs w:val="18"/>
          <w:color w:val="auto"/>
        </w:rPr>
      </w:pPr>
    </w:p>
    <w:p>
      <w:pPr>
        <w:ind w:right="200" w:firstLine="656"/>
        <w:spacing w:after="0" w:line="266" w:lineRule="auto"/>
        <w:tabs>
          <w:tab w:leader="none" w:pos="11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CanSino shall have the sole right and responsibility for (i) preparing, filing and maintaining all regulatory filings and Regulatory Approvals for the Products in the Field in the name of CanSino or any of its Affiliates, and (ii) reporting to Regulatory Authorities all Adverse Events and Serious Adverse Events to the extent required by Applicable Laws, in each case for and in respect of the CanSino Territory. CanSino shall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solely and exclusively own all Regulatory Approvals obtained by CanSino in and for the CanSino Territory.</w:t>
      </w:r>
    </w:p>
    <w:p>
      <w:pPr>
        <w:spacing w:after="0" w:line="225" w:lineRule="exact"/>
        <w:rPr>
          <w:sz w:val="20"/>
          <w:szCs w:val="20"/>
          <w:color w:val="auto"/>
        </w:rPr>
      </w:pPr>
    </w:p>
    <w:p>
      <w:pPr>
        <w:ind w:right="60" w:firstLine="656"/>
        <w:spacing w:after="0" w:line="255" w:lineRule="auto"/>
        <w:tabs>
          <w:tab w:leader="none" w:pos="11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Ocugen, CanSino shall reasonably respond to questions or comments from Regulatory Authorities in the Ocugen Territory as it relates to use of Products in the Field. In the event that a Regulatory Authority requests any information that has not been provided to Ocugen by CanSino, to the extent such additional information is under the control of CanSino, CanSino shall provide such information to Ocugen at no additional cost. Upon the reasonable request of CanSino, Ocugen shall reasonably respond to questions or comments from Regulatory Authorities in the CanSino Territory as it relates to use of Products in the Field. In the event that a Regulatory Authority requests any information that has not been provided to CanSino by Ocugen, to the extent such additional information is under the control of Ocugen, Ocugen shall provide such information to CanSino at no additional cost.</w:t>
      </w:r>
    </w:p>
    <w:p>
      <w:pPr>
        <w:spacing w:after="0" w:line="189"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11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CanSino shall reasonably cooperate with any on-site inspection by a Regulatory Authority as regards any Clinical Trial being conducted by Ocugen, as it relates to Ocugen’s Manufacture of finished Products in accordance with Section 3.7, or pursuant to this Agreement. Ocugen shall reasonably cooperate with any on-site inspection by a Regulatory Authority as regards any Clinical Trial being conducted by CanSino, as it relates to CanSino’s Manufacture and supply of CTM or finished Products to Ocugen in accordance with Section 3.7, or pursuant to this Agreement.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Further Cooperation</w:t>
      </w:r>
      <w:r>
        <w:rPr>
          <w:rFonts w:ascii="Times New Roman" w:cs="Times New Roman" w:eastAsia="Times New Roman" w:hAnsi="Times New Roman"/>
          <w:sz w:val="18"/>
          <w:szCs w:val="18"/>
          <w:color w:val="auto"/>
        </w:rPr>
        <w:t>. Further to the Parties’ respective obligations under Section 2.5 and Section 2.6, each Party shall share with the other Party all information it obtains in its conduct of the Development Program, including but not limited to documents and Data in regard to pre-clinical activities, clinical activities, CMC Technology, Manufacture, and Regulatory Approval in or for its Territory.</w:t>
      </w:r>
    </w:p>
    <w:p>
      <w:pPr>
        <w:spacing w:after="0" w:line="172"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Joint Steering Committee</w:t>
      </w:r>
      <w:r>
        <w:rPr>
          <w:rFonts w:ascii="Times New Roman" w:cs="Times New Roman" w:eastAsia="Times New Roman" w:hAnsi="Times New Roman"/>
          <w:sz w:val="17"/>
          <w:szCs w:val="17"/>
          <w:color w:val="auto"/>
        </w:rPr>
        <w:t>. On the Effective Date, the Parties shall establish a joint steering committee (“</w:t>
      </w:r>
      <w:r>
        <w:rPr>
          <w:rFonts w:ascii="Times New Roman" w:cs="Times New Roman" w:eastAsia="Times New Roman" w:hAnsi="Times New Roman"/>
          <w:sz w:val="17"/>
          <w:szCs w:val="17"/>
          <w:b w:val="1"/>
          <w:bCs w:val="1"/>
          <w:color w:val="auto"/>
        </w:rPr>
        <w:t>JSC</w:t>
      </w:r>
      <w:r>
        <w:rPr>
          <w:rFonts w:ascii="Times New Roman" w:cs="Times New Roman" w:eastAsia="Times New Roman" w:hAnsi="Times New Roman"/>
          <w:sz w:val="17"/>
          <w:szCs w:val="17"/>
          <w:color w:val="auto"/>
        </w:rPr>
        <w:t xml:space="preserve">”). The JSC shall have and perform the following responsibilities,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JSC shall have no authority to amend this Agreement: (a) oversight with respect to the conduct of the Development Program and implementation and execution of the Development Plan; (b) reviewing and approving the Development Plan and all amendments thereto;</w:t>
      </w:r>
    </w:p>
    <w:p>
      <w:pPr>
        <w:spacing w:after="0" w:line="1" w:lineRule="exact"/>
        <w:rPr>
          <w:sz w:val="20"/>
          <w:szCs w:val="20"/>
          <w:color w:val="auto"/>
        </w:rPr>
      </w:pPr>
    </w:p>
    <w:p>
      <w:pPr>
        <w:ind w:right="120" w:firstLine="8"/>
        <w:spacing w:after="0" w:line="265" w:lineRule="auto"/>
        <w:tabs>
          <w:tab w:leader="none" w:pos="2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the overall performance of Development activities by the Parties and comparing same to the diligence obligations set forth in Section 3.2; (d) reviewing and/or ensuring the exchange of all Technology, proprietary materials, reports or other information submitted to each Party or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JSC</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3" w:name="page114"/>
    <w:bookmarkEnd w:id="113"/>
    <w:p>
      <w:pPr>
        <w:spacing w:after="0" w:line="254" w:lineRule="auto"/>
        <w:rPr>
          <w:sz w:val="20"/>
          <w:szCs w:val="20"/>
          <w:color w:val="auto"/>
        </w:rPr>
      </w:pPr>
      <w:r>
        <w:rPr>
          <w:rFonts w:ascii="Times New Roman" w:cs="Times New Roman" w:eastAsia="Times New Roman" w:hAnsi="Times New Roman"/>
          <w:sz w:val="18"/>
          <w:szCs w:val="18"/>
          <w:color w:val="auto"/>
        </w:rPr>
        <w:t>pursuant to this Agreement; (e) attempting to resolve all matters between the Parties that are in dispute; and (f) performing such other functions as appropriate to further the purposes of this Agreement, as expressly set forth in this Agreement or as mutually determined by the Parties in writing. The JSC shall be comprised of four (4) members, consisting of two (2) from Ocugen and two (2) from CanSino, which members shall review and discuss at each meeting of the JSC, among other things, the Development Program, including Development activities being undertaken by the Parties and strategies and decisions to carry out co-Development of Products as specified in this Agreement. The JSC shall establish a schedule of times for regular meetings and special meetings may be convened by any member upon not less than thirty (30) days’ written notice to the other members. In no event shall the JSC meet less frequently than once every calendar quarter and at least two (2) meetings per calendar year shall be in-person meetings. At each JSC meeting, the presence in person of at least one (1) member designated by each Party shall constitute a quorum and the representatives of a Party shall have one (1) collective vote on all matters before the JSC at such meeting. All decisions of the JSC shall be made by unanimous vote. If unanimous vote is not achieved, the Parties shall resolve the dispute in accordance with the terms of Section 11.6.</w:t>
      </w:r>
    </w:p>
    <w:p>
      <w:pPr>
        <w:spacing w:after="0" w:line="182"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Responsibility for Commercialization of Products</w:t>
      </w:r>
      <w:r>
        <w:rPr>
          <w:rFonts w:ascii="Times New Roman" w:cs="Times New Roman" w:eastAsia="Times New Roman" w:hAnsi="Times New Roman"/>
          <w:sz w:val="18"/>
          <w:szCs w:val="18"/>
          <w:color w:val="auto"/>
        </w:rPr>
        <w:t>. Consistent with the remaining terms and conditions of this Agreement, each Party shall be solely responsible for Commercialization of Products in the Field in its Territory. For clarity, Ocugen shall be solely responsible for the Commercialization of Products in the Field in the Ocugen Territory, and CanSino shall be solely responsible for the Commercialization of Products in the Field in the CanSino Territory, in each case including all pre-marketing, marketing, promotion, sales, distribution, import and export activities (including securing reimbursement, sales and marketing and conducting any post-marketing trials or databases and post-marketing safety surveillance), maintaining all issued Marketing Authorizations, maintaining all pharmacovigilance systems and activities as required by Applicable Laws and the timing and launch of all Products. Each Party shall, and shall cause its Affiliates, to market and promote the Products only in the Field in its Territory.</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Commercialization Plan</w:t>
      </w:r>
      <w:r>
        <w:rPr>
          <w:rFonts w:ascii="Times New Roman" w:cs="Times New Roman" w:eastAsia="Times New Roman" w:hAnsi="Times New Roman"/>
          <w:sz w:val="18"/>
          <w:szCs w:val="18"/>
          <w:color w:val="auto"/>
        </w:rPr>
        <w:t>. No later than [six] ([6]) months prior to the expected First Commercial Sale of the first Product anywhere in the Ocugen Territory or the CanSino Territory, as applicable, the responsible Party shall provide to the other Party its initial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4" w:name="page115"/>
    <w:bookmarkEnd w:id="114"/>
    <w:p>
      <w:pPr>
        <w:spacing w:after="0" w:line="282" w:lineRule="auto"/>
        <w:rPr>
          <w:sz w:val="20"/>
          <w:szCs w:val="20"/>
          <w:color w:val="auto"/>
        </w:rPr>
      </w:pPr>
      <w:r>
        <w:rPr>
          <w:rFonts w:ascii="Times New Roman" w:cs="Times New Roman" w:eastAsia="Times New Roman" w:hAnsi="Times New Roman"/>
          <w:sz w:val="18"/>
          <w:szCs w:val="18"/>
          <w:color w:val="auto"/>
        </w:rPr>
        <w:t>Commercialization Plan for its Territory. Each Party shall provide the other Party with an updated Commercialization Plan no later than December 31 of each calendar year beginning with the calendar year in which First Commercial Sale of the first Product in its Territory occurs.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Responsibility for Commercialization Expenses</w:t>
      </w:r>
      <w:r>
        <w:rPr>
          <w:rFonts w:ascii="Times New Roman" w:cs="Times New Roman" w:eastAsia="Times New Roman" w:hAnsi="Times New Roman"/>
          <w:sz w:val="18"/>
          <w:szCs w:val="18"/>
          <w:color w:val="auto"/>
        </w:rPr>
        <w:t>. Each Party shall be solely responsible for paying all costs and expenses incurred in connection with its Commercialization of Products in the Field in its Territory.</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Commercialization Diligence</w:t>
      </w:r>
      <w:r>
        <w:rPr>
          <w:rFonts w:ascii="Times New Roman" w:cs="Times New Roman" w:eastAsia="Times New Roman" w:hAnsi="Times New Roman"/>
          <w:sz w:val="18"/>
          <w:szCs w:val="18"/>
          <w:color w:val="auto"/>
        </w:rPr>
        <w:t>. In each country or regulatory jurisdiction in the Ocugen Territory in which it receives Marketing Authorization, Ocugen shall use Commercially Reasonable Efforts during the Term to Commercialize the corresponding Product(s) in the Field in such country or regulatory jurisdiction. In each country or regulatory jurisdiction in the CanSino Territory in which it receives Marketing Authorization, CanSino shall use Commercially Reasonable Efforts during the Term to Commercialize the corresponding Product(s) in the Field in such country or regulatory jurisdiction.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Commercialization Reports</w:t>
      </w:r>
      <w:r>
        <w:rPr>
          <w:rFonts w:ascii="Times New Roman" w:cs="Times New Roman" w:eastAsia="Times New Roman" w:hAnsi="Times New Roman"/>
          <w:sz w:val="18"/>
          <w:szCs w:val="18"/>
          <w:color w:val="auto"/>
        </w:rPr>
        <w:t>. Each Party shall maintain a record of all of its Commercialization activities in accordance with good business practices. No later than December 31 of each calendar year beginning with the calendar year in which First Commercial Sale of the first Product occurs in its Territory, such Party shall provide to the other Party a reasonably detailed report that summarizes the Commercialization activities conducted by such Party during such calendar year.</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Product Trademarks</w:t>
      </w:r>
      <w:r>
        <w:rPr>
          <w:rFonts w:ascii="Times New Roman" w:cs="Times New Roman" w:eastAsia="Times New Roman" w:hAnsi="Times New Roman"/>
          <w:sz w:val="18"/>
          <w:szCs w:val="18"/>
          <w:color w:val="auto"/>
        </w:rPr>
        <w:t xml:space="preserve">. Ocugen may, in its sole discretion, select, and Ocugen shall own, the Product Trademarks for use on Products in the Field in and for the Ocugen Territory, and Ocugen shall be responsible for the registration, prosecution, maintenance and enforcement thereof. CanSino may, in its sole discretion, select, and CanSino shall own, the Product Trademarks for use on Products in the Field in and for the CanSino Territory, and CanSino shall be responsible for the registration, prosecution, maintenance and enforcement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CanSino shall: (a) notify Ocugen of its choice of any Product Trademark [***] before effecting its first filing of a Marketing Authorization for the related Product(s); and (b) notify Ocugen if it is required by any Regulatory Authority to alter, amend or change such Product Trademark. CanSino warrants that none of the Product Trademarks selected/owned by CanSino pursuant to this Section 4.6 will infringe any third party’s rights, and CanSino shall indemnify Ocugen if Ocugen incurs any liability related to CanSino’s breach of such warranty.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5" w:name="page116"/>
    <w:bookmarkEnd w:id="115"/>
    <w:p>
      <w:pPr>
        <w:ind w:right="360"/>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Additional Obligations of CanSino</w:t>
      </w:r>
      <w:r>
        <w:rPr>
          <w:rFonts w:ascii="Times New Roman" w:cs="Times New Roman" w:eastAsia="Times New Roman" w:hAnsi="Times New Roman"/>
          <w:sz w:val="18"/>
          <w:szCs w:val="18"/>
          <w:color w:val="auto"/>
        </w:rPr>
        <w:t>. In addition to its other obligations set forth in this Article 4, CanSino shall, during the Term, at its own cost and expense, use Commercially Reasonable Efforts to: (a) initiate, extend, promote and maximize sales of the Products in the Filed in and for the CanSino Territory and not do or take any action which could hinder or interfere with such sales; (b) achieve the sales forecasts contained in the applicable Commercialization Plan; and (c) allocate its promotional and sales resources and such technical support for the promotion, marketing and sales of the Products as may reasonably be required to maximize sales of such Products in the Field in and for the CanSino Territory.</w:t>
      </w:r>
    </w:p>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CanSino shall undertake to Commercialize Products in the Field in and for the CanSino Territory entirely in accordance with the Marketing Authorization of/for such Products and in accordance with all Applicable Laws.</w:t>
      </w:r>
    </w:p>
    <w:p>
      <w:pPr>
        <w:spacing w:after="0" w:line="1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Adverse Events</w:t>
      </w:r>
      <w:r>
        <w:rPr>
          <w:rFonts w:ascii="Times New Roman" w:cs="Times New Roman" w:eastAsia="Times New Roman" w:hAnsi="Times New Roman"/>
          <w:sz w:val="18"/>
          <w:szCs w:val="18"/>
          <w:color w:val="auto"/>
        </w:rPr>
        <w:t>. During the Term, each Party shall be responsible for promptly notifying the other Party regarding any Adverse Event, whether actual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suspected, in respect of Products that is suffered anywhere in the world and with respect to which such Party obtains information or knowledge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accordance with the following: (a) the receiving Party shall report to the other Party by telephone (followed by written descriptions)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writing any information regarding a Serious Adverse Event concerning drug reactions that are life-threatening or cause death within two (2) days after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determination by the receiving Party that the Adverse Event is serious; (b) the receiving Party shall report to the other Party in writing any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any Serious Adverse Event that does not fall within the scope of Section 4.9(a) within seven (7) days after an initial determination by the receiving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that the Adverse Event is serious; (c) the receiving Party shall report to the other Party by telephone (followed by written descriptions) or in writing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a non-serious Adverse Event that does not fall within the scope of Section 4.9(a) within ninety (90) days after the date the receiving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receives the information; and (d) the receiving Party’s reports pursuant to this Section 4.9 shall contain any relevant information reasonably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Party to meet the requirements of any Regulatory Authority in/for its Territory.</w:t>
      </w:r>
    </w:p>
    <w:p>
      <w:pPr>
        <w:spacing w:after="0" w:line="203"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Payment/Consideration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In consideration for the licenses granted under Sections 2.1 and 2.2 and the rights of each Party to Commercialize Products in its Territory, each Party agrees to pay the other Party royalties under this Agreement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ind w:right="220" w:firstLine="656"/>
        <w:spacing w:after="0" w:line="266" w:lineRule="auto"/>
        <w:tabs>
          <w:tab w:leader="none" w:pos="11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Product-by-Product and country-by-country basis, Ocugen will pay CanSino [***] in such country in the Ocugen Territory in a given calendar year (or partial calendar year), commencing with the First Commercial Sale of such Product in such country and ending upon the last day of the Term for such Product in such country pursuant to Section 9.1; and</w:t>
      </w:r>
    </w:p>
    <w:p>
      <w:pPr>
        <w:spacing w:after="0" w:line="176" w:lineRule="exact"/>
        <w:rPr>
          <w:rFonts w:ascii="Times New Roman" w:cs="Times New Roman" w:eastAsia="Times New Roman" w:hAnsi="Times New Roman"/>
          <w:sz w:val="18"/>
          <w:szCs w:val="18"/>
          <w:color w:val="auto"/>
        </w:rPr>
      </w:pPr>
    </w:p>
    <w:p>
      <w:pPr>
        <w:ind w:right="140" w:firstLine="656"/>
        <w:spacing w:after="0" w:line="266" w:lineRule="auto"/>
        <w:tabs>
          <w:tab w:leader="none" w:pos="11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Product-by-Product and country-by-country basis, CanSino will pay Ocugen [***] in such country in the CanSino Territory in a given calendar year (or partial calendar year), commencing with the First Commercial Sale of such Product in such country and ending upon the last day of the Term for such Product in such country pursuant to Section 9.1.</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Royalty Reports</w:t>
      </w:r>
      <w:r>
        <w:rPr>
          <w:rFonts w:ascii="Times New Roman" w:cs="Times New Roman" w:eastAsia="Times New Roman" w:hAnsi="Times New Roman"/>
          <w:sz w:val="18"/>
          <w:szCs w:val="18"/>
          <w:color w:val="auto"/>
        </w:rPr>
        <w:t>. In accordance with this Agreement, each Party shall prepare and provide to the other Party with its royalty payment, a royalty report showing: (a) the gross sales and Net Sales of each Product by country in its Territory; (b) the total amount of deductions from gross sales taken to determine Net Sales; and (c) a calculation of the amount of the royalty due to the other Party under Section 5.1. The foregoing amounts shall be expressed in both Ren Min Bi (RMB) (i.e., Chinese Yuans) and Dollars and shall be converted using as the applicable foreign exchange the average of the closing rates published in the eastern edition of The Wall Street Journal under the heading “Money Rates” or any other mutually agreed upon source for each applicable calendar quarter for which such report is due.</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 All payments made by a Party under this Section 5.3 shall be made by wire transfer from a banking institution in United States Dollars in accordance with instructions given from time to time by the other Party. CanSino acknowledges and agrees that it shall make the payments required under this Section 5.3 in a timely manner so that Ocugen may comply with its obligations to make payments to SERI in accordance with Articles 3 and 4 of the SERI Agreement.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Non-Monetary Sales</w:t>
      </w:r>
      <w:r>
        <w:rPr>
          <w:rFonts w:ascii="Times New Roman" w:cs="Times New Roman" w:eastAsia="Times New Roman" w:hAnsi="Times New Roman"/>
          <w:sz w:val="18"/>
          <w:szCs w:val="18"/>
          <w:color w:val="auto"/>
        </w:rPr>
        <w:t>. Neither Party shall enter into any agreement, nor permit any agreement to be made, under which any non-monetary Net Sales are obtained or due to be obtained by a Party, except with the prior written consent of the other Party.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17" w:name="page118"/>
    <w:bookmarkEnd w:id="117"/>
    <w:p>
      <w:pPr>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Prohibited Payments</w:t>
      </w:r>
      <w:r>
        <w:rPr>
          <w:rFonts w:ascii="Times New Roman" w:cs="Times New Roman" w:eastAsia="Times New Roman" w:hAnsi="Times New Roman"/>
          <w:sz w:val="18"/>
          <w:szCs w:val="18"/>
          <w:color w:val="auto"/>
        </w:rPr>
        <w:t>. If, at any time during the continuation of this Agreement, either Party is prohibited from making any of the payments required hereunder by a Governmental Authority in any country (“</w:t>
      </w:r>
      <w:r>
        <w:rPr>
          <w:rFonts w:ascii="Times New Roman" w:cs="Times New Roman" w:eastAsia="Times New Roman" w:hAnsi="Times New Roman"/>
          <w:sz w:val="18"/>
          <w:szCs w:val="18"/>
          <w:b w:val="1"/>
          <w:bCs w:val="1"/>
          <w:color w:val="auto"/>
        </w:rPr>
        <w:t>the prohibited Party</w:t>
      </w:r>
      <w:r>
        <w:rPr>
          <w:rFonts w:ascii="Times New Roman" w:cs="Times New Roman" w:eastAsia="Times New Roman" w:hAnsi="Times New Roman"/>
          <w:sz w:val="18"/>
          <w:szCs w:val="18"/>
          <w:color w:val="auto"/>
        </w:rPr>
        <w:t>”), then the prohibited Party shall, within the prescribed period for making said payments, in the appropriate manner, use Commercially Reasonable Efforts to secure from such Governmental Authority in the relevant country permission to make said payments, and shall make such payments within [***] after receiving such permission. If such permission is not granted within [***] after the prohibited Party makes such request for permission, then, at the option of the other Party, the prohibited Party shall make the payments due in the currency of the relevant country, either to a bank account designated by the other Party within such country or to an Affiliate designated by the other Party.</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Each Party shall keep, and shall require its Affiliates to keep, true books of account containing an accurate record (together with all supporting documentation) of all data and information necessary for determining and/or verifying the amounts payable to the other Party hereunder and to SERI pursuant to the SERI Agreement. Each Party shall keep its records at its principal place of business or the principal place of business of the appropriate division of such Party to which this Agreement relates and shall require its Affiliates and permitted sublicensees to keep their books and records related to this Agreement in the same manner.</w:t>
      </w:r>
    </w:p>
    <w:p>
      <w:pPr>
        <w:spacing w:after="0" w:line="180"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As between the Parties, Ocugen shall have sole and exclusive Control of all right, title and interest on a worldwide basis in and to any and all Ocugen Technology and Ocugen Patent Rights, subject to the licenses provided to CanSino pursuant to this Agreement. The Parties shall jointly Control all right, title and interest on a worldwide basis in and to any and all Joint Program Technology, Joint Program Patent Rights and Joint Program Materials. Each Party hereby agrees to promptly notify the other Party of the conception or reduction to practice of any Joint Program Technology or Joint Program Materials and to promptly execute any documents that may be necessary to perfect the other Party’s rights in and to such Joint Program Technology.</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Patent Filing, Prosecution and Maintenance</w:t>
      </w:r>
      <w:r>
        <w:rPr>
          <w:rFonts w:ascii="Times New Roman" w:cs="Times New Roman" w:eastAsia="Times New Roman" w:hAnsi="Times New Roman"/>
          <w:sz w:val="18"/>
          <w:szCs w:val="18"/>
          <w:color w:val="auto"/>
        </w:rPr>
        <w:t>. Ocugen shall, acting through patent counsel of its choice: (a) endeavor to prepare, file, prosecute and maintain the Ocugen Patent Rights and the Joint Program Patent Rights worldwide so as to secure the broadest protection reasonably and lawfully available; (b) consult with CanSino in relation to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8" w:name="page119"/>
    <w:bookmarkEnd w:id="118"/>
    <w:p>
      <w:pPr>
        <w:spacing w:after="0" w:line="254" w:lineRule="auto"/>
        <w:rPr>
          <w:sz w:val="20"/>
          <w:szCs w:val="20"/>
          <w:color w:val="auto"/>
        </w:rPr>
      </w:pPr>
      <w:r>
        <w:rPr>
          <w:rFonts w:ascii="Times New Roman" w:cs="Times New Roman" w:eastAsia="Times New Roman" w:hAnsi="Times New Roman"/>
          <w:sz w:val="18"/>
          <w:szCs w:val="18"/>
          <w:color w:val="auto"/>
        </w:rPr>
        <w:t xml:space="preserve">preparation, filing, prosecution and maintenance of the Ocugen Patent Rights and the Joint Program Patent Rights, as well as all changes to patent claims or specifications that would have the effect of reducing or limiting the extent of such patent coverage; and (c) pay all fees and expenses to prepare, file, prosecute and maintain the Ocugen Patent Rights and the Joint Program Patent Rights worldwide as and when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CanSino shall reimburse Ocugen for the portion of such fees and expenses that are incurred by Ocugen in, for or with respect to the CanSino Territory. Ocugen shall consult in good faith with CanSino and CanSino shall cooperate with and assist Ocugen in all reasonable respects, in connection with Ocugen’s preparation, filing, prosecution and maintenance of such Ocugen Patent Rights and Joint Program Patent Rights. If Ocugen desires to abandon or to not maintain any of the Joint Program Patent Rights in the Field in and for the CanSino Territory (or to cease funding any application or Patent forming a part of such Joint Program Patent Rights), it shall give CanSino [***] prior written notice of same, and CanSino shall have the right but not the obligation, beginning at the end of such [***] period, to pursue preparing, filing, prosecuting and/or maintaining such Joint Program Patent Rights in the Field solely in and for the CanSino Territory, at its sole cost and expense.</w:t>
      </w:r>
    </w:p>
    <w:p>
      <w:pPr>
        <w:spacing w:after="0" w:line="18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Enforcement and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4" w:lineRule="auto"/>
        <w:tabs>
          <w:tab w:leader="none" w:pos="11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inform the other Party promptly if it becomes aware of any infringement, potential infringement or misappropriation of any Ocugen Patent Rights or Joint Program Patent Rights in the Field anywhere in the world, and the Parties shall consult with each other regarding a strategy for enforcement/defense and the best way to respond to such infringement. Notwithstanding the foregoing, as between the Parties, Ocugen shall have the first right, but not the obligation, to address infringement of the Ocugen Patent Rights and the Joint Program Patent Rights anywhere in the world by taking reasonable steps, which may include the institution of legal proceedings or other action, and to compromise or settle such infringement of the Ocugen Patent Rights or the Joint Program Patent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Ocugen shall keep CanSino informed about such infringement response and CanSino shall provide all reasonable cooperation to Ocugen in connection with such infringement response. In the event that Ocugen initiates any such action, any damages or other payments recovered shall belong solely to Ocugen. Ocugen shall not take any position with respect to, or compromise or settle, any such infringement of the Ocugen Patent Rights or Joint Program Patent Rights in any way that may derogate from CanSino’s rights in this Agreement, without the prior written consent of CanSino,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9" w:name="page120"/>
    <w:bookmarkEnd w:id="119"/>
    <w:p>
      <w:pPr>
        <w:spacing w:after="0" w:line="266" w:lineRule="auto"/>
        <w:rPr>
          <w:sz w:val="20"/>
          <w:szCs w:val="20"/>
          <w:color w:val="auto"/>
        </w:rPr>
      </w:pPr>
      <w:r>
        <w:rPr>
          <w:rFonts w:ascii="Times New Roman" w:cs="Times New Roman" w:eastAsia="Times New Roman" w:hAnsi="Times New Roman"/>
          <w:sz w:val="18"/>
          <w:szCs w:val="18"/>
          <w:color w:val="auto"/>
        </w:rPr>
        <w:t>which consent shall not be unreasonably withheld, conditioned or delayed. If Ocugen does not intend to enforce /defend any Ocugen Patent Rights or Joint Program Patent Rights, or ceases to diligently pursue infringement of any Ocugen Patent Rights or Joint Program Patent Rights anywhere in the world, it shall promptly inform CanSino of such fact. All costs relating to Ocugen’s infringement responses under this Section 6.3(a) shall be borne solely by Ocugen.</w:t>
      </w:r>
    </w:p>
    <w:p>
      <w:pPr>
        <w:spacing w:after="0" w:line="176" w:lineRule="exact"/>
        <w:rPr>
          <w:sz w:val="20"/>
          <w:szCs w:val="20"/>
          <w:color w:val="auto"/>
        </w:rPr>
      </w:pPr>
    </w:p>
    <w:p>
      <w:pPr>
        <w:ind w:right="120" w:firstLine="656"/>
        <w:spacing w:after="0" w:line="254" w:lineRule="auto"/>
        <w:tabs>
          <w:tab w:leader="none" w:pos="11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Ocugen informs CanSino that it does not intend to enforce/defend any Ocugen Patent Rights or Joint Program Patent Rights, or ceases to diligently pursue infringement of any Ocugen Patent Rights or Joint Program Patent Rights anywhere in the world in accordance with Section 6.3(a), then CanSino shall have the right, but not the obligation, at its own expense, upon written notice to Ocugen, to address such infringement of such Ocugen Patent Rights or Joint Program Patent Rights by taking reasonable steps, which may include the institution of legal proceedings or other action, and to compromise or settle such infringement of such Ocugen Patent Rights or Joint Program Patent Rights against the applicable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CanSino shall keep Ocugen informed about such infringement response and Ocugen shall provide all reasonable cooperation to CanSino in connection with such infringement response. CanSino shall not take any position with respect to, or compromise or settle, any such infringement of the Ocugen Patent Rights or Joint Program Patent Rights in any way that may derogate from Ocugen’s rights in this Agreement, without the prior written consent of Ocugen, which consent shall not be unreasonably withheld, conditioned or delayed. In the event that CanSino initiates any such action, any damages or other payments recovered shall belong solely to CanSino.</w:t>
      </w:r>
    </w:p>
    <w:p>
      <w:pPr>
        <w:spacing w:after="0" w:line="186" w:lineRule="exact"/>
        <w:rPr>
          <w:rFonts w:ascii="Times New Roman" w:cs="Times New Roman" w:eastAsia="Times New Roman" w:hAnsi="Times New Roman"/>
          <w:sz w:val="18"/>
          <w:szCs w:val="18"/>
          <w:color w:val="auto"/>
        </w:rPr>
      </w:pPr>
    </w:p>
    <w:p>
      <w:pPr>
        <w:ind w:right="140" w:firstLine="656"/>
        <w:spacing w:after="0" w:line="282" w:lineRule="auto"/>
        <w:tabs>
          <w:tab w:leader="none" w:pos="11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starting any legal action under Section 6.3(b), CanSino shall consult with Ocugen as to the advisability of the action or settlement, its effect on the good name of Ocugen, the public interest, and how the action should be conducted.</w:t>
      </w:r>
    </w:p>
    <w:p>
      <w:pPr>
        <w:spacing w:after="0" w:line="161" w:lineRule="exact"/>
        <w:rPr>
          <w:rFonts w:ascii="Times New Roman" w:cs="Times New Roman" w:eastAsia="Times New Roman" w:hAnsi="Times New Roman"/>
          <w:sz w:val="18"/>
          <w:szCs w:val="18"/>
          <w:color w:val="auto"/>
        </w:rPr>
      </w:pPr>
    </w:p>
    <w:p>
      <w:pPr>
        <w:ind w:right="320" w:firstLine="656"/>
        <w:spacing w:after="0" w:line="282" w:lineRule="auto"/>
        <w:tabs>
          <w:tab w:leader="none" w:pos="11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alleged infringement of the Ocugen Patent Rights or the Joint Program Patent Rights is both within and outside the Field, the Parties shall also co-operate with Ocugen’s other licensees (if any) in relation to any such action(s).</w:t>
      </w:r>
    </w:p>
    <w:p>
      <w:pPr>
        <w:spacing w:after="0" w:line="161" w:lineRule="exact"/>
        <w:rPr>
          <w:rFonts w:ascii="Times New Roman" w:cs="Times New Roman" w:eastAsia="Times New Roman" w:hAnsi="Times New Roman"/>
          <w:sz w:val="18"/>
          <w:szCs w:val="18"/>
          <w:color w:val="auto"/>
        </w:rPr>
      </w:pPr>
    </w:p>
    <w:p>
      <w:pPr>
        <w:jc w:val="both"/>
        <w:ind w:right="280" w:firstLine="656"/>
        <w:spacing w:after="0" w:line="261" w:lineRule="auto"/>
        <w:tabs>
          <w:tab w:leader="none" w:pos="11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to be joined in any suit to enforce the Ocugen Patent Rights or Joint Program Patent Rights in the applicable Territory in accordance with Section 6.3(a) or Section 6.3(b), as applicable, subject to being indemnified and secured in a reasonable manner as to any costs, damages, expenses, or other liabilities such Party may incur in connection therewith or resulting therefrom, and such Party shall have the right to be separately represented in any such suit by its own counsel at its own expense.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spacing w:after="0"/>
        <w:tabs>
          <w:tab w:leader="none" w:pos="3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Infringement of Third-Party Rights</w:t>
      </w:r>
    </w:p>
    <w:p>
      <w:pPr>
        <w:spacing w:after="0" w:line="225" w:lineRule="exact"/>
        <w:rPr>
          <w:sz w:val="20"/>
          <w:szCs w:val="20"/>
          <w:color w:val="auto"/>
        </w:rPr>
      </w:pPr>
    </w:p>
    <w:p>
      <w:pPr>
        <w:ind w:firstLine="656"/>
        <w:spacing w:after="0" w:line="254" w:lineRule="auto"/>
        <w:tabs>
          <w:tab w:leader="none" w:pos="11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warning letter or other notice of infringement from a third party is received by a Party, or a legal suit, proceeding or other action is brought against a Party, alleging infringement of the Technology or Patent Rights of such third party by reason of the conduct of the Development Program, the use, Development, Manufacture or Commercialization of any Product in the Field, or the use of any Ocugen Patent Rights or Joint Program Patent Rights hereunder, that Party shall promptly provide full details to the other Party, and the Parties shall discuss as soon as possible the overall strategy for defense of such matter and the best way to respond. Notwithstanding the foregoing, Ocugen shall have the obligation to defend any such suit, proceeding or other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CanSino shall have the right to separate counsel at its own expense in any such suit, proceeding or other action. The Parties shall cooperate with each other in all reasonable respects in any such suit, proceeding or other action, and all expenses with respect to any such suit, proceeding or other action in the Territory shall be borne equally by the Parties. Each Party shall promptly furnish the other Party with a copy of each communication relating to the alleged infringement that is received by such Party, including all documents filed in any litigation.</w:t>
      </w:r>
    </w:p>
    <w:p>
      <w:pPr>
        <w:spacing w:after="0" w:line="187" w:lineRule="exact"/>
        <w:rPr>
          <w:rFonts w:ascii="Times New Roman" w:cs="Times New Roman" w:eastAsia="Times New Roman" w:hAnsi="Times New Roman"/>
          <w:sz w:val="18"/>
          <w:szCs w:val="18"/>
          <w:color w:val="auto"/>
        </w:rPr>
      </w:pPr>
    </w:p>
    <w:p>
      <w:pPr>
        <w:jc w:val="both"/>
        <w:ind w:right="120" w:firstLine="656"/>
        <w:spacing w:after="0" w:line="267" w:lineRule="auto"/>
        <w:tabs>
          <w:tab w:leader="none" w:pos="11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Ocugen shall have the right to settle the related suit, proceeding or other action with the applicable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taking of any action or any proposed settlement involves the making of any statement, express or implied, concerning the validity of the Ocugen Patent Rights or the Joint Program Patent Rights, CanSino shall be notified before Ocugen takes such action or makes such settlement.</w:t>
      </w:r>
    </w:p>
    <w:p>
      <w:pPr>
        <w:spacing w:after="0" w:line="172" w:lineRule="exact"/>
        <w:rPr>
          <w:sz w:val="20"/>
          <w:szCs w:val="20"/>
          <w:color w:val="auto"/>
        </w:rPr>
      </w:pPr>
    </w:p>
    <w:p>
      <w:pPr>
        <w:ind w:left="380" w:hanging="372"/>
        <w:spacing w:after="0"/>
        <w:tabs>
          <w:tab w:leader="none" w:pos="3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2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Parties</w:t>
      </w:r>
      <w:r>
        <w:rPr>
          <w:rFonts w:ascii="Times New Roman" w:cs="Times New Roman" w:eastAsia="Times New Roman" w:hAnsi="Times New Roman"/>
          <w:sz w:val="18"/>
          <w:szCs w:val="18"/>
          <w:color w:val="auto"/>
        </w:rPr>
        <w:t>. Each Party represents and warrants to the other Party as of the Effective Date that:</w:t>
      </w:r>
    </w:p>
    <w:p>
      <w:pPr>
        <w:spacing w:after="0" w:line="225" w:lineRule="exact"/>
        <w:rPr>
          <w:sz w:val="20"/>
          <w:szCs w:val="20"/>
          <w:color w:val="auto"/>
        </w:rPr>
      </w:pPr>
    </w:p>
    <w:p>
      <w:pPr>
        <w:ind w:right="360" w:firstLine="656"/>
        <w:spacing w:after="0" w:line="266" w:lineRule="auto"/>
        <w:tabs>
          <w:tab w:leader="none" w:pos="11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duly organized, validly existing and in good standing under the laws of the jurisdiction of its organization, and has full power and authority to own and operate its property and assets and to carry on its business as it is now being conducted and as it is contemplated to be conducted by this Agreement;</w:t>
      </w:r>
    </w:p>
    <w:p>
      <w:pPr>
        <w:spacing w:after="0" w:line="176" w:lineRule="exact"/>
        <w:rPr>
          <w:rFonts w:ascii="Times New Roman" w:cs="Times New Roman" w:eastAsia="Times New Roman" w:hAnsi="Times New Roman"/>
          <w:sz w:val="18"/>
          <w:szCs w:val="18"/>
          <w:color w:val="auto"/>
        </w:rPr>
      </w:pPr>
    </w:p>
    <w:p>
      <w:pPr>
        <w:ind w:left="5620" w:right="60" w:hanging="4964"/>
        <w:spacing w:after="0" w:line="532" w:lineRule="auto"/>
        <w:tabs>
          <w:tab w:leader="none" w:pos="11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full right, power, and authority to enter into this Agreement and to grant the rights and licenses granted by it under this Agreement;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21" w:name="page122"/>
    <w:bookmarkEnd w:id="121"/>
    <w:p>
      <w:pPr>
        <w:ind w:right="140" w:firstLine="656"/>
        <w:spacing w:after="0" w:line="282" w:lineRule="auto"/>
        <w:tabs>
          <w:tab w:leader="none" w:pos="11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existing, or to its knowledge, threatened Claims pending with respect to the subject matter of this Agreement or its right to enter into and perform its obligations under this Agreement;</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1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taken all necessary action on its part to authorize the execution and delivery of this Agreement and the performance of its obligations under this Agreement;</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1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on behalf of it, and constitutes a legal, valid, binding obligation, enforceable against it in accordance with its terms, subject to the general principles of equity and to the laws of bankruptcy, insolvency, moratorium, and other similar laws affecting the enforcement of creditors’ rights generally, and to any applicable competition laws;</w:t>
      </w:r>
    </w:p>
    <w:p>
      <w:pPr>
        <w:spacing w:after="0" w:line="176" w:lineRule="exact"/>
        <w:rPr>
          <w:rFonts w:ascii="Times New Roman" w:cs="Times New Roman" w:eastAsia="Times New Roman" w:hAnsi="Times New Roman"/>
          <w:sz w:val="18"/>
          <w:szCs w:val="18"/>
          <w:color w:val="auto"/>
        </w:rPr>
      </w:pPr>
    </w:p>
    <w:p>
      <w:pPr>
        <w:ind w:right="600" w:firstLine="656"/>
        <w:spacing w:after="0" w:line="266" w:lineRule="auto"/>
        <w:tabs>
          <w:tab w:leader="none" w:pos="113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required to be obtained by it in accordance with the execution and delivery of this Agreement and the performance of its obligations under this Agreement have been or will be obtained, and in the case of CanSino, all Permits have been or will be obtained in relation to its conduct of any and all activities described hereunder to be performed in or with respect to the CanSino Territory; and</w:t>
      </w:r>
    </w:p>
    <w:p>
      <w:pPr>
        <w:spacing w:after="0" w:line="176" w:lineRule="exact"/>
        <w:rPr>
          <w:rFonts w:ascii="Times New Roman" w:cs="Times New Roman" w:eastAsia="Times New Roman" w:hAnsi="Times New Roman"/>
          <w:sz w:val="18"/>
          <w:szCs w:val="18"/>
          <w:color w:val="auto"/>
        </w:rPr>
      </w:pPr>
    </w:p>
    <w:p>
      <w:pPr>
        <w:ind w:right="400" w:firstLine="656"/>
        <w:spacing w:after="0" w:line="282" w:lineRule="auto"/>
        <w:tabs>
          <w:tab w:leader="none" w:pos="11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performance of its obligations hereunder do not conflict with or constitute a default under any of its constitutional or formation agreements.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Ocugen’s Additional Warranties</w:t>
      </w:r>
      <w:r>
        <w:rPr>
          <w:rFonts w:ascii="Times New Roman" w:cs="Times New Roman" w:eastAsia="Times New Roman" w:hAnsi="Times New Roman"/>
          <w:sz w:val="18"/>
          <w:szCs w:val="18"/>
          <w:color w:val="auto"/>
        </w:rPr>
        <w:t>. Ocugen further represents and warrants as of the Effective Date, and covenants as and to the extent applicable during the Term, that:</w:t>
      </w:r>
    </w:p>
    <w:p>
      <w:pPr>
        <w:spacing w:after="0" w:line="162" w:lineRule="exact"/>
        <w:rPr>
          <w:sz w:val="20"/>
          <w:szCs w:val="20"/>
          <w:color w:val="auto"/>
        </w:rPr>
      </w:pPr>
    </w:p>
    <w:p>
      <w:pPr>
        <w:jc w:val="both"/>
        <w:ind w:right="640" w:firstLine="656"/>
        <w:spacing w:after="0" w:line="266" w:lineRule="auto"/>
        <w:tabs>
          <w:tab w:leader="none" w:pos="11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right and authority to grant the licenses and rights granted under this Agreement, and no rights or licenses are required from Ocugen, or to its knowledge, any other Person, in order for CanSino to Develop, Manufacture and Commercialize Products in the Field in and for the CanSino Territory as contemplated under this Agreement other than the rights granted to CanSino under Section 2.1;</w:t>
      </w:r>
    </w:p>
    <w:p>
      <w:pPr>
        <w:spacing w:after="0" w:line="176" w:lineRule="exact"/>
        <w:rPr>
          <w:rFonts w:ascii="Times New Roman" w:cs="Times New Roman" w:eastAsia="Times New Roman" w:hAnsi="Times New Roman"/>
          <w:sz w:val="18"/>
          <w:szCs w:val="18"/>
          <w:color w:val="auto"/>
        </w:rPr>
      </w:pPr>
    </w:p>
    <w:p>
      <w:pPr>
        <w:ind w:right="40" w:firstLine="656"/>
        <w:spacing w:after="0" w:line="256" w:lineRule="auto"/>
        <w:tabs>
          <w:tab w:leader="none" w:pos="114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Ocugen’s knowledge, there are no Patent Rights Controlled by a third party that would be infringed by CanSino’s use of the Ocugen Technology or CanSino’s practicing of the Ocugen Patent Rights in the Field in and for the CanSino Territory, and to Ocugen’s knowledge, no Claim or litigation has been brought or asserted (and Ocugen has no knowledge of any Claim, whether or not brought or asserted, or of any facts or circumstances that exist that would reasonably be expected to give rise to any such Claim or litigation) by any Person alleging that (i) the Ocugen Patent Rights are invalid or unenforceable or (ii) the conception, development, reduction to practice, disclosing, copying, making, assigning or licensing of the Ocugen Technology or the Ocugen Patent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Rights existing as of the Effective Date as contemplated herein, violates, infringes, constitutes misappropriation of or otherwise conflicts or interferes with or would violate, infringe or otherwise conflict or interfere with, any intellectual property or proprietary right of any other Person; and</w:t>
      </w:r>
    </w:p>
    <w:p>
      <w:pPr>
        <w:spacing w:after="0" w:line="162" w:lineRule="exact"/>
        <w:rPr>
          <w:sz w:val="20"/>
          <w:szCs w:val="20"/>
          <w:color w:val="auto"/>
        </w:rPr>
      </w:pPr>
    </w:p>
    <w:p>
      <w:pPr>
        <w:ind w:right="120" w:firstLine="656"/>
        <w:spacing w:after="0" w:line="282" w:lineRule="auto"/>
        <w:tabs>
          <w:tab w:leader="none" w:pos="11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Ocugen’s knowledge, no Person is infringing or threatening to infringe, or misappropriating or threatening to misappropriate, the Ocugen Patent Rights existing as of the Effective Date.</w:t>
      </w:r>
    </w:p>
    <w:p>
      <w:pPr>
        <w:spacing w:after="0" w:line="161" w:lineRule="exact"/>
        <w:rPr>
          <w:rFonts w:ascii="Times New Roman" w:cs="Times New Roman" w:eastAsia="Times New Roman" w:hAnsi="Times New Roman"/>
          <w:sz w:val="18"/>
          <w:szCs w:val="18"/>
          <w:color w:val="auto"/>
        </w:rPr>
      </w:pPr>
    </w:p>
    <w:p>
      <w:pPr>
        <w:ind w:right="300" w:firstLine="656"/>
        <w:spacing w:after="0" w:line="282" w:lineRule="auto"/>
        <w:tabs>
          <w:tab w:leader="none" w:pos="11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made and will make commercially reasonable efforts to maintain the validity of the Ocugen Patent Rights and will not surrender its licenses in any way so as to secure the broadest protection reasonably and lawfully available.</w:t>
      </w:r>
    </w:p>
    <w:p>
      <w:pPr>
        <w:spacing w:after="0" w:line="158" w:lineRule="exact"/>
        <w:rPr>
          <w:sz w:val="20"/>
          <w:szCs w:val="20"/>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Confidentiality Obligations</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undertakes:</w:t>
      </w:r>
    </w:p>
    <w:p>
      <w:pPr>
        <w:spacing w:after="0" w:line="225" w:lineRule="exact"/>
        <w:rPr>
          <w:sz w:val="20"/>
          <w:szCs w:val="20"/>
          <w:color w:val="auto"/>
        </w:rPr>
      </w:pPr>
    </w:p>
    <w:p>
      <w:pPr>
        <w:ind w:right="520" w:firstLine="656"/>
        <w:spacing w:after="0" w:line="286" w:lineRule="auto"/>
        <w:tabs>
          <w:tab w:leader="none" w:pos="113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as secret and confidential all Confidential Information obtained directly or indirectly from the other Party (the “</w:t>
      </w:r>
      <w:r>
        <w:rPr>
          <w:rFonts w:ascii="Times New Roman" w:cs="Times New Roman" w:eastAsia="Times New Roman" w:hAnsi="Times New Roman"/>
          <w:sz w:val="18"/>
          <w:szCs w:val="18"/>
          <w:b w:val="1"/>
          <w:bCs w:val="1"/>
          <w:color w:val="auto"/>
        </w:rPr>
        <w:t>Disclosing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in the course of, or in anticipation of, this Agreement and to respect the Disclosing Party’s rights therein;</w:t>
      </w:r>
    </w:p>
    <w:p>
      <w:pPr>
        <w:spacing w:after="0" w:line="158" w:lineRule="exact"/>
        <w:rPr>
          <w:rFonts w:ascii="Times New Roman" w:cs="Times New Roman" w:eastAsia="Times New Roman" w:hAnsi="Times New Roman"/>
          <w:sz w:val="18"/>
          <w:szCs w:val="18"/>
          <w:color w:val="auto"/>
        </w:rPr>
      </w:pPr>
    </w:p>
    <w:p>
      <w:pPr>
        <w:ind w:right="200" w:firstLine="656"/>
        <w:spacing w:after="0" w:line="282" w:lineRule="auto"/>
        <w:tabs>
          <w:tab w:leader="none" w:pos="114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such Confidential Information for any purpose other than as contemplated in this Agreement or with the Disclosing Party’s prior written consent;</w:t>
      </w:r>
    </w:p>
    <w:p>
      <w:pPr>
        <w:spacing w:after="0" w:line="161" w:lineRule="exact"/>
        <w:rPr>
          <w:rFonts w:ascii="Times New Roman" w:cs="Times New Roman" w:eastAsia="Times New Roman" w:hAnsi="Times New Roman"/>
          <w:sz w:val="18"/>
          <w:szCs w:val="18"/>
          <w:color w:val="auto"/>
        </w:rPr>
      </w:pPr>
    </w:p>
    <w:p>
      <w:pPr>
        <w:ind w:right="500" w:firstLine="656"/>
        <w:spacing w:after="0" w:line="282" w:lineRule="auto"/>
        <w:tabs>
          <w:tab w:leader="none" w:pos="11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disclose such Confidential Information to any Person other than those of its staff or advisers to whom and to the extent that such disclosure is reasonably necessary for the purposes of this Agreement and which are under equally strict confidentiality obligations; and</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steps necessary to prevent the unauthorized disclosure or use of any of the Disclosing Party’s Confidential Information.</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Exceptions to obligations</w:t>
      </w:r>
      <w:r>
        <w:rPr>
          <w:rFonts w:ascii="Times New Roman" w:cs="Times New Roman" w:eastAsia="Times New Roman" w:hAnsi="Times New Roman"/>
          <w:sz w:val="18"/>
          <w:szCs w:val="18"/>
          <w:color w:val="auto"/>
        </w:rPr>
        <w:t>. The provisions of Section 8.1 shall not apply to Confidential Information which the Receiving Party can demonstrate by reasonable, written evidence:</w:t>
      </w:r>
    </w:p>
    <w:p>
      <w:pPr>
        <w:spacing w:after="0" w:line="162" w:lineRule="exact"/>
        <w:rPr>
          <w:sz w:val="20"/>
          <w:szCs w:val="20"/>
          <w:color w:val="auto"/>
        </w:rPr>
      </w:pPr>
    </w:p>
    <w:p>
      <w:pPr>
        <w:ind w:left="1140" w:hanging="484"/>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prior to its receipt by the Receiving Party from the Disclosing Party, in the possession of the Receiving Party and at its free disposal; or</w:t>
      </w:r>
    </w:p>
    <w:p>
      <w:pPr>
        <w:spacing w:after="0" w:line="225" w:lineRule="exact"/>
        <w:rPr>
          <w:rFonts w:ascii="Times New Roman" w:cs="Times New Roman" w:eastAsia="Times New Roman" w:hAnsi="Times New Roman"/>
          <w:sz w:val="18"/>
          <w:szCs w:val="18"/>
          <w:color w:val="auto"/>
        </w:rPr>
      </w:pPr>
    </w:p>
    <w:p>
      <w:pPr>
        <w:ind w:right="360" w:firstLine="656"/>
        <w:spacing w:after="0" w:line="282" w:lineRule="auto"/>
        <w:tabs>
          <w:tab w:leader="none" w:pos="11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disclosed to the Receiving Party without any obligations of confidence by a third party who has not derived it directly or indirectly from the Disclosing Party; or</w:t>
      </w:r>
    </w:p>
    <w:p>
      <w:pPr>
        <w:spacing w:after="0" w:line="16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generally available to the public through no act or default of the Receiving Party or its agents, employees or Affiliates; or</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23" w:name="page124"/>
    <w:bookmarkEnd w:id="123"/>
    <w:p>
      <w:pPr>
        <w:ind w:right="300" w:firstLine="656"/>
        <w:spacing w:after="0" w:line="282" w:lineRule="auto"/>
        <w:tabs>
          <w:tab w:leader="none" w:pos="114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Receiving Party by individuals who have not had any direct or indirect access to the Disclosing Party’s Confidential Information; or</w:t>
      </w:r>
    </w:p>
    <w:p>
      <w:pPr>
        <w:spacing w:after="0" w:line="161" w:lineRule="exact"/>
        <w:rPr>
          <w:rFonts w:ascii="Times New Roman" w:cs="Times New Roman" w:eastAsia="Times New Roman" w:hAnsi="Times New Roman"/>
          <w:sz w:val="18"/>
          <w:szCs w:val="18"/>
          <w:color w:val="auto"/>
        </w:rPr>
      </w:pPr>
    </w:p>
    <w:p>
      <w:pPr>
        <w:ind w:firstLine="656"/>
        <w:spacing w:after="0" w:line="261" w:lineRule="auto"/>
        <w:tabs>
          <w:tab w:leader="none" w:pos="11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Receiving Party is required to disclose to the courts of any competent jurisdiction, or to any Governmental Authority or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Receiving Party shall (i) inform the Disclosing Party as soon as reasonably practicable, and (ii) at the Disclosing Party’s request seek to persuade the court, Governmental Authority or Regulatory Authority to have the information treated in a confidential manner, where and to the extent this is possible under such court’s or authority’s procedures.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Disclosures to Employees</w:t>
      </w:r>
      <w:r>
        <w:rPr>
          <w:rFonts w:ascii="Times New Roman" w:cs="Times New Roman" w:eastAsia="Times New Roman" w:hAnsi="Times New Roman"/>
          <w:sz w:val="18"/>
          <w:szCs w:val="18"/>
          <w:color w:val="auto"/>
        </w:rPr>
        <w:t>. The Receiving Party shall procure that all of its employees and subcontractors pursuant to this Agreement (if any) who have access to any of the Disclosing Party’s information to which Section 8.1 applies shall be made aware of and subject to the obligations of this Article 8 and shall have entered into written undertakings of confidentiality at least as restrictive as those set forth in Section 8.1 which apply to the Disclosing Party’s Confidential Information.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Regulatory Disclosures</w:t>
      </w:r>
      <w:r>
        <w:rPr>
          <w:rFonts w:ascii="Times New Roman" w:cs="Times New Roman" w:eastAsia="Times New Roman" w:hAnsi="Times New Roman"/>
          <w:sz w:val="18"/>
          <w:szCs w:val="18"/>
          <w:color w:val="auto"/>
        </w:rPr>
        <w:t>. Each Party has the right to make announcements or disclosures concerning the transactions contemplated by this Agreement or any ancillary matter, if:</w:t>
      </w:r>
    </w:p>
    <w:p>
      <w:pPr>
        <w:spacing w:after="0" w:line="162" w:lineRule="exact"/>
        <w:rPr>
          <w:sz w:val="20"/>
          <w:szCs w:val="20"/>
          <w:color w:val="auto"/>
        </w:rPr>
      </w:pPr>
    </w:p>
    <w:p>
      <w:pPr>
        <w:ind w:left="1140" w:hanging="484"/>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under Applicable Laws, including the rules of any securities exchange or regulatory or governmental body to which either Party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or</w:t>
      </w:r>
    </w:p>
    <w:p>
      <w:pPr>
        <w:spacing w:after="0" w:line="20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information supplied to its shareholders from time to time;</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announcement shall be made after consultation with and the prior agreement of the other Party as to the terms and timetable for publication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announcement, such consultation and prior agreement to be sought within a reasonable timeframe and not to be unreasonably withheld or delayed by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Parties acknowledge that each Party may disclose the Confidential Information to any securities exchanges where the securities of a Party or its Affiliates are or intend to be traded, but only to the extent required by such securities exchanges, without further notice to the other Party.</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Return of Confidential Information</w:t>
      </w:r>
      <w:r>
        <w:rPr>
          <w:rFonts w:ascii="Times New Roman" w:cs="Times New Roman" w:eastAsia="Times New Roman" w:hAnsi="Times New Roman"/>
          <w:sz w:val="18"/>
          <w:szCs w:val="18"/>
          <w:color w:val="auto"/>
        </w:rPr>
        <w:t xml:space="preserve">. Upon the termination of this Agreement for any reason, the Receiving Party shall return to the Disclosing Party any documents or other materials that contain the Disclosing Party’s Confidential Information, including all copies made and make no further use or disclosure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Receiving Party may retain one copy of the Confidential Information of the Disclosing Party in its archives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solely for the purpose of establishing the contents thereof and ensuring compliance with Applicable Laws and its obligations hereunder.</w:t>
      </w:r>
    </w:p>
    <w:p>
      <w:pPr>
        <w:spacing w:after="0" w:line="221"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Commencement and Termination by Expiry</w:t>
      </w:r>
      <w:r>
        <w:rPr>
          <w:rFonts w:ascii="Times New Roman" w:cs="Times New Roman" w:eastAsia="Times New Roman" w:hAnsi="Times New Roman"/>
          <w:sz w:val="18"/>
          <w:szCs w:val="18"/>
          <w:color w:val="auto"/>
        </w:rPr>
        <w:t>. This Agreement, and the licenses granted hereunder, shall come into effect on the Effective Date and, unless terminated earlier in accordance with this Section 9, shall continue in force on a country-by-country and Product-by-Product basis until the later of:</w:t>
      </w:r>
    </w:p>
    <w:p>
      <w:pPr>
        <w:ind w:firstLine="8"/>
        <w:spacing w:after="0" w:line="252" w:lineRule="auto"/>
        <w:tabs>
          <w:tab w:leader="none" w:pos="2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last Valid Claim included within the Ocugen Patent Rights claiming or Covering such Product that, but for this Agreement, would be infringed by such Product, as applicable, in such country; and (b) the tenth (10th) anniversary of the First Commercial Sale of such Product in such country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and on such date this Agreement and the licenses granted hereunder shall terminate automatically by expiry with respect to such Product in such country. Notwithstanding the foregoing, this Agreement shall terminate contemporaneously upon any termination of the SERI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at the time of such termination CanSino is not in breach or default of this Agreement, CanSino shall have the right to request conversion of this Agreement to an agreement/license directly between SERI and CanSino, and SERI shall not unreasonably withhold its acceptance of such conversion if CanSino agrees to be bound by all of the provisions of the SERI Agreement.</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Other Bases of Termination</w:t>
      </w:r>
      <w:r>
        <w:rPr>
          <w:rFonts w:ascii="Times New Roman" w:cs="Times New Roman" w:eastAsia="Times New Roman" w:hAnsi="Times New Roman"/>
          <w:sz w:val="18"/>
          <w:szCs w:val="18"/>
          <w:color w:val="auto"/>
        </w:rPr>
        <w:t>. Either Party may terminate this Agreement at any time by notice in writing to the other Party (the “</w:t>
      </w:r>
      <w:r>
        <w:rPr>
          <w:rFonts w:ascii="Times New Roman" w:cs="Times New Roman" w:eastAsia="Times New Roman" w:hAnsi="Times New Roman"/>
          <w:sz w:val="18"/>
          <w:szCs w:val="18"/>
          <w:b w:val="1"/>
          <w:bCs w:val="1"/>
          <w:color w:val="auto"/>
        </w:rPr>
        <w:t>Other Party</w:t>
      </w:r>
      <w:r>
        <w:rPr>
          <w:rFonts w:ascii="Times New Roman" w:cs="Times New Roman" w:eastAsia="Times New Roman" w:hAnsi="Times New Roman"/>
          <w:sz w:val="18"/>
          <w:szCs w:val="18"/>
          <w:color w:val="auto"/>
        </w:rPr>
        <w:t>”), such notice to take effect as specified in the notice:</w:t>
      </w:r>
    </w:p>
    <w:p>
      <w:pPr>
        <w:spacing w:after="0" w:line="159" w:lineRule="exact"/>
        <w:rPr>
          <w:sz w:val="20"/>
          <w:szCs w:val="20"/>
          <w:color w:val="auto"/>
        </w:rPr>
      </w:pPr>
    </w:p>
    <w:p>
      <w:pPr>
        <w:ind w:right="260" w:firstLine="656"/>
        <w:spacing w:after="0" w:line="282" w:lineRule="auto"/>
        <w:tabs>
          <w:tab w:leader="none" w:pos="11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entirety if the Other Party is in material or persistent breach of this Agreement and, in the case of a breach capable of remedy within [***], the breach is not remedied within [***] of the Other Party receiving written notice specifying the breach and requiring its remedy; or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entirety immediately upon written notice to the Other Party in the event that the Other Party or any of its Affiliates challenges or assists a third party in initiating or pursing a challenge of any Technology Controlled by such Party; or</w:t>
      </w:r>
    </w:p>
    <w:p>
      <w:pPr>
        <w:spacing w:after="0" w:line="161" w:lineRule="exact"/>
        <w:rPr>
          <w:rFonts w:ascii="Times New Roman" w:cs="Times New Roman" w:eastAsia="Times New Roman" w:hAnsi="Times New Roman"/>
          <w:sz w:val="18"/>
          <w:szCs w:val="18"/>
          <w:color w:val="auto"/>
        </w:rPr>
      </w:pPr>
    </w:p>
    <w:p>
      <w:pPr>
        <w:ind w:right="280" w:firstLine="656"/>
        <w:spacing w:after="0" w:line="266" w:lineRule="auto"/>
        <w:tabs>
          <w:tab w:leader="none" w:pos="11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Other Party becomes insolvent or unable to pay its debts as and when they become due, or (ii) an order is made or a resolution is passed for the winding up of the Other Party (other than voluntarily for the purpose of solvent amalgamation or reconstruction), or (iii) a liquidator, administrator, administrative receiver, receiver, or trustee is appointed in respect of the whole or any part of the Other Party’s assets or</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25" w:name="page126"/>
    <w:bookmarkEnd w:id="125"/>
    <w:p>
      <w:pPr>
        <w:ind w:right="320"/>
        <w:spacing w:after="0" w:line="282" w:lineRule="auto"/>
        <w:rPr>
          <w:sz w:val="20"/>
          <w:szCs w:val="20"/>
          <w:color w:val="auto"/>
        </w:rPr>
      </w:pPr>
      <w:r>
        <w:rPr>
          <w:rFonts w:ascii="Times New Roman" w:cs="Times New Roman" w:eastAsia="Times New Roman" w:hAnsi="Times New Roman"/>
          <w:sz w:val="18"/>
          <w:szCs w:val="18"/>
          <w:color w:val="auto"/>
        </w:rPr>
        <w:t>business, or (iv) the Other Party makes any composition with its creditors, or (v) the Other Party ceases to continue its business, or (vi) as a result of debt and/or maladministration the Other Party takes or suffers any similar or analogous action in any jurisdiction.</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Sale of Remaining Inventory</w:t>
      </w:r>
      <w:r>
        <w:rPr>
          <w:rFonts w:ascii="Times New Roman" w:cs="Times New Roman" w:eastAsia="Times New Roman" w:hAnsi="Times New Roman"/>
          <w:sz w:val="17"/>
          <w:szCs w:val="17"/>
          <w:color w:val="auto"/>
        </w:rPr>
        <w:t xml:space="preserve">. Upon expiration or termination of this Agreement for any reason, CanSino shall be entitled to sell, use, or otherwise dispose of (subject to payment of royalties under Section 5) any unsold or unused stock of the Products for a period of [***] after the effective date of 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CanSino is then and remains during such [***] period in compliance with all of the other terms and conditions of this Agreement.</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Consequences of Termination by Ocugen Under Sections 9.2(a) and 9.2(b)</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Agreement is terminated by Ocugen pursuant to Section 9.2(a) or Section 9.2(b), then:</w:t>
      </w:r>
    </w:p>
    <w:p>
      <w:pPr>
        <w:spacing w:after="0" w:line="225" w:lineRule="exact"/>
        <w:rPr>
          <w:sz w:val="20"/>
          <w:szCs w:val="20"/>
          <w:color w:val="auto"/>
        </w:rPr>
      </w:pPr>
    </w:p>
    <w:p>
      <w:pPr>
        <w:ind w:right="100" w:firstLine="656"/>
        <w:spacing w:after="0" w:line="266" w:lineRule="auto"/>
        <w:tabs>
          <w:tab w:leader="none" w:pos="11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licenses granted to CanSino under Section 2.1(a) and Section 2.1(b) shall be terminated and of no further force and effect, and to the extent permitted by Applicable Laws, CanSino shall promptly assign to Ocugen all regulatory filings (including any Regulatory Approvals) for the Products in the Field in and for the CanSino Territory.</w:t>
      </w:r>
    </w:p>
    <w:p>
      <w:pPr>
        <w:spacing w:after="0" w:line="176" w:lineRule="exact"/>
        <w:rPr>
          <w:rFonts w:ascii="Times New Roman" w:cs="Times New Roman" w:eastAsia="Times New Roman" w:hAnsi="Times New Roman"/>
          <w:sz w:val="18"/>
          <w:szCs w:val="18"/>
          <w:color w:val="auto"/>
        </w:rPr>
      </w:pPr>
    </w:p>
    <w:p>
      <w:pPr>
        <w:ind w:right="600" w:firstLine="656"/>
        <w:spacing w:after="0" w:line="266" w:lineRule="auto"/>
        <w:tabs>
          <w:tab w:leader="none" w:pos="11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such termination, CanSino shall provide to Ocugen a fair and accurate summary of the status and results of its Development, Manufacturing and Commercialization activities for Products in the Field in and for the CanSino Territory prior to the effective date of termination.</w:t>
      </w:r>
    </w:p>
    <w:p>
      <w:pPr>
        <w:spacing w:after="0" w:line="176" w:lineRule="exact"/>
        <w:rPr>
          <w:rFonts w:ascii="Times New Roman" w:cs="Times New Roman" w:eastAsia="Times New Roman" w:hAnsi="Times New Roman"/>
          <w:sz w:val="18"/>
          <w:szCs w:val="18"/>
          <w:color w:val="auto"/>
        </w:rPr>
      </w:pPr>
    </w:p>
    <w:p>
      <w:pPr>
        <w:ind w:right="20" w:firstLine="656"/>
        <w:spacing w:after="0" w:line="258" w:lineRule="auto"/>
        <w:tabs>
          <w:tab w:leader="none" w:pos="11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CanSino shall use Commercially Reasonable Efforts to effect a timely transition to Ocugen of all Development, Manufacturing and Commercialization activities and responsibilities for Products in the Field in and for the CanSino Territory as are in existence as of the date of termination in accordance with a transition plan to be mutually agreed by the Parties. CanSino shall promptly discontinue and wind-down or transfer to Ocugen, at CanSino’s cost, any clinical Development activities still ongoing and forward all interim and final reports and underlying data from such activities to Ocugen as part of such transition.</w:t>
      </w:r>
    </w:p>
    <w:p>
      <w:pPr>
        <w:spacing w:after="0" w:line="183" w:lineRule="exact"/>
        <w:rPr>
          <w:rFonts w:ascii="Times New Roman" w:cs="Times New Roman" w:eastAsia="Times New Roman" w:hAnsi="Times New Roman"/>
          <w:sz w:val="18"/>
          <w:szCs w:val="18"/>
          <w:color w:val="auto"/>
        </w:rPr>
      </w:pPr>
    </w:p>
    <w:p>
      <w:pPr>
        <w:ind w:firstLine="656"/>
        <w:spacing w:after="0" w:line="261" w:lineRule="auto"/>
        <w:tabs>
          <w:tab w:leader="none" w:pos="11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such termination and request by Ocugen for such license, CanSino hereby grants to Ocugen a perpetual, irrevocable, exclusive (even as to CanSino, except with respect to Manufacturing if a supply agreement between the Parties is then in effect in accordance with Section 9.4(e)) license, with the right to grant sublicenses, under CanSino’s rights in the Joint Program Technology and Joint Program Patent Rights, used in the Development, Manufacture or Commercialization of Products on the date of</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6" w:name="page127"/>
    <w:bookmarkEnd w:id="126"/>
    <w:p>
      <w:pPr>
        <w:spacing w:after="0" w:line="254" w:lineRule="auto"/>
        <w:rPr>
          <w:sz w:val="20"/>
          <w:szCs w:val="20"/>
          <w:color w:val="auto"/>
        </w:rPr>
      </w:pPr>
      <w:r>
        <w:rPr>
          <w:rFonts w:ascii="Times New Roman" w:cs="Times New Roman" w:eastAsia="Times New Roman" w:hAnsi="Times New Roman"/>
          <w:sz w:val="18"/>
          <w:szCs w:val="18"/>
          <w:color w:val="auto"/>
        </w:rPr>
        <w:t>termination, solely to continue to Develop, Manufacture (subject to Section 9.4(e)) and/or Commercialize Products in the Field in the CanSino Territory. The foregoing license shall be royalty-bearing as follows: (i) Ocugen shall pay CanSino a royalty of [***] of the Net Sales of Products by Ocugen or its sublicensees (to the extent such Products are thereafter Commercialized by Ocugen or its sublicensees) until such time as the amounts paid under this Section 9.4(d) equals the sum of the actual documented and audited out-of-pocket expenses paid by CanSino to conduct CanSino Development Activities and other Develop Products in the Field in and for the CanSino Territory as part of the Development Program (the “CanSino Development Costs”); and</w:t>
      </w:r>
    </w:p>
    <w:p>
      <w:pPr>
        <w:spacing w:after="0" w:line="3" w:lineRule="exact"/>
        <w:rPr>
          <w:sz w:val="20"/>
          <w:szCs w:val="20"/>
          <w:color w:val="auto"/>
        </w:rPr>
      </w:pPr>
    </w:p>
    <w:p>
      <w:pPr>
        <w:ind w:right="1020" w:firstLine="8"/>
        <w:spacing w:after="0" w:line="261" w:lineRule="auto"/>
        <w:tabs>
          <w:tab w:leader="none" w:pos="2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Sections 5.2, 5.3, 5.4 and 5.5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Ocugen’s payment of such royalties. Thereafter, the license granted under this Section 9.4(d) shall be a fully paid-up, non-royalty bearing, perpetual, non-exclusive license in and for the CanSino Territory.</w:t>
      </w:r>
    </w:p>
    <w:p>
      <w:pPr>
        <w:spacing w:after="0" w:line="179" w:lineRule="exact"/>
        <w:rPr>
          <w:rFonts w:ascii="Times New Roman" w:cs="Times New Roman" w:eastAsia="Times New Roman" w:hAnsi="Times New Roman"/>
          <w:sz w:val="18"/>
          <w:szCs w:val="18"/>
          <w:color w:val="auto"/>
        </w:rPr>
      </w:pPr>
    </w:p>
    <w:p>
      <w:pPr>
        <w:ind w:firstLine="697"/>
        <w:spacing w:after="0" w:line="255" w:lineRule="auto"/>
        <w:tabs>
          <w:tab w:leader="none" w:pos="114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Ocugen’s request, CanSino shall, as part of any transition plan mutually agreed by the Parties under Section 9.4(c), at Ocugen’s expense, transfer to Ocugen (or its designee) any processes, documents, materials and other Technology, to the extent the foregoing is Controlled by CanSino as of the effective date of termination and used in the Manufacture of Products in the Field in and for the CanSino Territory as of the date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CanSino shall, pursuant to any supply agreement then in place between the Parties, on the terms set forth in such supply agreement,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non-exclusively supply Ocugen with clinical and/or commercial quantities of Products under Development or being Commercialized by CanSino in the Field in and for the CanSino Territory, in either case, as of the effective date of termination, until the expiration or termination of such supply agreement in accordance with its terms.</w:t>
      </w:r>
    </w:p>
    <w:p>
      <w:pPr>
        <w:spacing w:after="0" w:line="1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 xml:space="preserve">Consequences of Termination by CanSino Under Sections 9.2(a) and 9.2(b). </w:t>
      </w:r>
      <w:r>
        <w:rPr>
          <w:rFonts w:ascii="Times New Roman" w:cs="Times New Roman" w:eastAsia="Times New Roman" w:hAnsi="Times New Roman"/>
          <w:sz w:val="18"/>
          <w:szCs w:val="18"/>
          <w:color w:val="auto"/>
        </w:rPr>
        <w:t>If this Agreement is terminated by CanSino pursuant to Section 9.2(a)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9.2(b), then:</w:t>
      </w:r>
    </w:p>
    <w:p>
      <w:pPr>
        <w:spacing w:after="0" w:line="207" w:lineRule="exact"/>
        <w:rPr>
          <w:sz w:val="20"/>
          <w:szCs w:val="20"/>
          <w:color w:val="auto"/>
        </w:rPr>
      </w:pPr>
    </w:p>
    <w:p>
      <w:pPr>
        <w:ind w:left="340" w:right="20" w:hanging="332"/>
        <w:spacing w:after="0" w:line="261" w:lineRule="auto"/>
        <w:tabs>
          <w:tab w:leader="none" w:pos="3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licenses granted to CanSino under Section 2.1(a) and Section 2.1(b) shall continue to be valid in accordance with this Agreement, and to the extent permitted by the SERI Agreement and Applicable Laws. The foregoing license shall be royalty-bearing as follows: (i) CanSino shall pay Ocugen a royalty of [***] of the Net Sales of Products by CanSino or its sublicensees (to the extent such Products are thereafter Commercialized by CanSino or its sublicensees) for the balance of the Term; and (ii) Sections 5.2, 5.3, 5.4 and 5.5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CanSino’s payment of such royalties.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7" w:name="page128"/>
    <w:bookmarkEnd w:id="127"/>
    <w:p>
      <w:pPr>
        <w:ind w:left="340" w:right="20" w:hanging="332"/>
        <w:spacing w:after="0" w:line="282" w:lineRule="auto"/>
        <w:tabs>
          <w:tab w:leader="none" w:pos="3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such termination, CanSino shall provide Ocugen with a statement of the CanSino Development Costs and, within [***] after receipt of such report, Ocugen shall reimburse CanSino all such CanSino Development Costs.</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9" w:lineRule="auto"/>
        <w:tabs>
          <w:tab w:leader="none" w:pos="35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this Agreement shall not result in the termination of the Supply Agreement. That is, CanSino has the right, but not be obligated to, pursuant to any supply agreement then in place between the Parties, on the terms set forth in such supply agreement, continue to supply Ocugen with clinical and/or commercial quantities of Products under Development or being Commercialized by Ocugen in the Field in and for the Ocugen Territory.</w:t>
      </w:r>
    </w:p>
    <w:p>
      <w:pPr>
        <w:spacing w:after="0" w:line="1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No Further Obligations</w:t>
      </w:r>
      <w:r>
        <w:rPr>
          <w:rFonts w:ascii="Times New Roman" w:cs="Times New Roman" w:eastAsia="Times New Roman" w:hAnsi="Times New Roman"/>
          <w:sz w:val="18"/>
          <w:szCs w:val="18"/>
          <w:color w:val="auto"/>
        </w:rPr>
        <w:t>. Except as provided in this Section 9, and except in respect of any accrued rights, upon the expiration or termination of this Agreement, neither Party shall be under any further obligation to the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Indemnification; Insurance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Indemnification of Ocugen Indemnitees by CanSino</w:t>
      </w:r>
      <w:r>
        <w:rPr>
          <w:rFonts w:ascii="Times New Roman" w:cs="Times New Roman" w:eastAsia="Times New Roman" w:hAnsi="Times New Roman"/>
          <w:sz w:val="18"/>
          <w:szCs w:val="18"/>
          <w:color w:val="auto"/>
        </w:rPr>
        <w:t>. CanSino shall indemnify, defend and hold harmless Ocugen, its Affiliates, their respective directors, officers, employees and agents, and their respective successors, heirs and assigns (collectively, the “</w:t>
      </w:r>
      <w:r>
        <w:rPr>
          <w:rFonts w:ascii="Times New Roman" w:cs="Times New Roman" w:eastAsia="Times New Roman" w:hAnsi="Times New Roman"/>
          <w:sz w:val="18"/>
          <w:szCs w:val="18"/>
          <w:b w:val="1"/>
          <w:bCs w:val="1"/>
          <w:color w:val="auto"/>
        </w:rPr>
        <w:t>Ocugen Indemnitees</w:t>
      </w:r>
      <w:r>
        <w:rPr>
          <w:rFonts w:ascii="Times New Roman" w:cs="Times New Roman" w:eastAsia="Times New Roman" w:hAnsi="Times New Roman"/>
          <w:sz w:val="18"/>
          <w:szCs w:val="18"/>
          <w:color w:val="auto"/>
        </w:rPr>
        <w:t>”), against all liabilities, damages, losses and expenses (including reasonable attorneys’ fees and expenses of litigation)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incurred by or imposed upon the Ocugen Indemnitees, or any of them, as a direct result of Claims of third parties, including personal injury and product liability claims (collectively, “</w:t>
      </w:r>
      <w:r>
        <w:rPr>
          <w:rFonts w:ascii="Times New Roman" w:cs="Times New Roman" w:eastAsia="Times New Roman" w:hAnsi="Times New Roman"/>
          <w:sz w:val="18"/>
          <w:szCs w:val="18"/>
          <w:b w:val="1"/>
          <w:bCs w:val="1"/>
          <w:color w:val="auto"/>
        </w:rPr>
        <w:t>Ocugen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Indemnity Claims</w:t>
      </w:r>
      <w:r>
        <w:rPr>
          <w:rFonts w:ascii="Times New Roman" w:cs="Times New Roman" w:eastAsia="Times New Roman" w:hAnsi="Times New Roman"/>
          <w:sz w:val="18"/>
          <w:szCs w:val="18"/>
          <w:color w:val="auto"/>
        </w:rPr>
        <w:t>”), to the extent arising out of: (a) the Development, Manufacture and/or Commercialization of Products by CanSino or any of its agents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Field in and for the CanSino Territory; (b) any breach of this Agreement by CanSino or any of its Affiliates or agents; or (c) the gross negligence or willful misconduct of any CanSino Indemnitee or agent of CanSino, excluding any CanSino Indemnity Claim or Losses for which Ocugen has an obligation to indemnify CanSino Indemnitees pursuant to Section 10.2, as to which Claims or Losses each Party shall indemnify the other to the extent of their respective liability for such Losses.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Indemnification of CanSino Indemnitees by Ocugen</w:t>
      </w:r>
      <w:r>
        <w:rPr>
          <w:rFonts w:ascii="Times New Roman" w:cs="Times New Roman" w:eastAsia="Times New Roman" w:hAnsi="Times New Roman"/>
          <w:sz w:val="18"/>
          <w:szCs w:val="18"/>
          <w:color w:val="auto"/>
        </w:rPr>
        <w:t>. Ocugen shall indemnify, defend and hold harmless CanSino, its Affiliates, their respective directors, officers, employees and agents, and their respective successors, heirs and assigns (collectively, the “</w:t>
      </w:r>
      <w:r>
        <w:rPr>
          <w:rFonts w:ascii="Times New Roman" w:cs="Times New Roman" w:eastAsia="Times New Roman" w:hAnsi="Times New Roman"/>
          <w:sz w:val="18"/>
          <w:szCs w:val="18"/>
          <w:b w:val="1"/>
          <w:bCs w:val="1"/>
          <w:color w:val="auto"/>
        </w:rPr>
        <w:t>CanSino Indemnitees</w:t>
      </w:r>
      <w:r>
        <w:rPr>
          <w:rFonts w:ascii="Times New Roman" w:cs="Times New Roman" w:eastAsia="Times New Roman" w:hAnsi="Times New Roman"/>
          <w:sz w:val="18"/>
          <w:szCs w:val="18"/>
          <w:color w:val="auto"/>
        </w:rPr>
        <w:t>”), against all Losses incurred by or imposed upon the CanSino</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8" w:name="page129"/>
    <w:bookmarkEnd w:id="128"/>
    <w:p>
      <w:pPr>
        <w:ind w:right="80"/>
        <w:spacing w:after="0" w:line="257" w:lineRule="auto"/>
        <w:rPr>
          <w:sz w:val="20"/>
          <w:szCs w:val="20"/>
          <w:color w:val="auto"/>
        </w:rPr>
      </w:pPr>
      <w:r>
        <w:rPr>
          <w:rFonts w:ascii="Times New Roman" w:cs="Times New Roman" w:eastAsia="Times New Roman" w:hAnsi="Times New Roman"/>
          <w:sz w:val="18"/>
          <w:szCs w:val="18"/>
          <w:color w:val="auto"/>
        </w:rPr>
        <w:t>Indemnitees, or any of them, as a direct result of Claims of third parties, including personal injury and product liability claims (collectively, “</w:t>
      </w:r>
      <w:r>
        <w:rPr>
          <w:rFonts w:ascii="Times New Roman" w:cs="Times New Roman" w:eastAsia="Times New Roman" w:hAnsi="Times New Roman"/>
          <w:sz w:val="18"/>
          <w:szCs w:val="18"/>
          <w:b w:val="1"/>
          <w:bCs w:val="1"/>
          <w:color w:val="auto"/>
        </w:rPr>
        <w:t>CanSino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Indemnity Claims</w:t>
      </w:r>
      <w:r>
        <w:rPr>
          <w:rFonts w:ascii="Times New Roman" w:cs="Times New Roman" w:eastAsia="Times New Roman" w:hAnsi="Times New Roman"/>
          <w:sz w:val="18"/>
          <w:szCs w:val="18"/>
          <w:color w:val="auto"/>
        </w:rPr>
        <w:t>”), to the extent arising out of: (a) the Development, Manufacture and/or Commercialization of Products by Ocugen or any of its agents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Field in and for the Ocugen Territory; (b) any breach of this Agreement by Ocugen or any of its Affiliates or agents; or (c) the gross negligence or willful misconduct of any Ocugen Indemnitee or agent of Ocugen, excluding any Ocugen Indemnity Claim or Losses for which CanSino has an obligation to indemnify Ocugen Indemnitees pursuant to Section 10.1, as to which Claims or Losses each Party shall indemnify the other to the extent of their respective liability for such Losses.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Indemnification</w:t>
      </w:r>
      <w:r>
        <w:rPr>
          <w:rFonts w:ascii="Times New Roman" w:cs="Times New Roman" w:eastAsia="Times New Roman" w:hAnsi="Times New Roman"/>
          <w:sz w:val="18"/>
          <w:szCs w:val="18"/>
          <w:color w:val="auto"/>
        </w:rPr>
        <w:t>. A Person seeking recovery under this Article 10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in respect of an Ocugen Indemnity Claim or a CanSino Indemnity Claim, as applicable (each, an “</w:t>
      </w:r>
      <w:r>
        <w:rPr>
          <w:rFonts w:ascii="Times New Roman" w:cs="Times New Roman" w:eastAsia="Times New Roman" w:hAnsi="Times New Roman"/>
          <w:sz w:val="18"/>
          <w:szCs w:val="18"/>
          <w:b w:val="1"/>
          <w:bCs w:val="1"/>
          <w:color w:val="auto"/>
        </w:rPr>
        <w:t>Indemnity Claim</w:t>
      </w:r>
      <w:r>
        <w:rPr>
          <w:rFonts w:ascii="Times New Roman" w:cs="Times New Roman" w:eastAsia="Times New Roman" w:hAnsi="Times New Roman"/>
          <w:sz w:val="18"/>
          <w:szCs w:val="18"/>
          <w:color w:val="auto"/>
        </w:rPr>
        <w:t>”) shall give prompt written notice of such Indemnity Claim to the Party from whom indemnification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Indemnifying Party is not contesting its obligation under this Article 10, and shall permit the Indemnifying Party to control the investigation, defense and settlement of such Indemnity Claim; and </w:t>
      </w:r>
      <w:r>
        <w:rPr>
          <w:rFonts w:ascii="Times New Roman" w:cs="Times New Roman" w:eastAsia="Times New Roman" w:hAnsi="Times New Roman"/>
          <w:sz w:val="18"/>
          <w:szCs w:val="18"/>
          <w:i w:val="1"/>
          <w:iCs w:val="1"/>
          <w:color w:val="auto"/>
        </w:rPr>
        <w:t>further provided</w:t>
      </w:r>
      <w:r>
        <w:rPr>
          <w:rFonts w:ascii="Times New Roman" w:cs="Times New Roman" w:eastAsia="Times New Roman" w:hAnsi="Times New Roman"/>
          <w:sz w:val="18"/>
          <w:szCs w:val="18"/>
          <w:color w:val="auto"/>
        </w:rPr>
        <w:t>, that the Indemnifying Party shall (a) act reasonably and in good faith with respect to all matters relating to the settlement or disposition of such Indemnity Claim as the settlement or disposition relates to such Indemnified Party and (b) not settle or otherwise resolve such Indemnity Claim without the prior written consent of such Indemnified Party (which consent shall not be unreasonably withheld, conditioned or delayed). Each Indemnified Party shall cooperate with the Indemnifying Party in its investigation, defense and settlement of any such Indemnity Claim in all reasonable respects and shall have the right to be present in person or through counsel at all legal proceedings with respect to such Indemnity Claim. If the Indemnifying Party does not assume and conduct the defense of the Indemnity Claim as provided above, (i) the Indemnified Party may defend against, consent to the entry of any judgment, or enter into any settlement with respect to such Indemnity Claim in any manner the Indemnified Party may deem appropriate (and the Indemnified Party need not consult with, or obtain any consent from, the Indemnifying Party in connection therewith), and (ii) the Indemnifying Party shall remain responsible to indemnify the Indemnified Party as provided in this Article 10. The Indemnifying Party shall have no liability for any settlement of Indemnity Claims entered into by the Indemnified Party without the prior written consent of the Indemnifying Party.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9" w:name="page130"/>
    <w:bookmarkEnd w:id="129"/>
    <w:p>
      <w:pPr>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Limited Liability</w:t>
      </w:r>
      <w:r>
        <w:rPr>
          <w:rFonts w:ascii="Times New Roman" w:cs="Times New Roman" w:eastAsia="Times New Roman" w:hAnsi="Times New Roman"/>
          <w:sz w:val="18"/>
          <w:szCs w:val="18"/>
          <w:color w:val="auto"/>
        </w:rPr>
        <w:t>. NEITHER PARTY SHALL BE LIABLE TO THE OTHER PARTY OR ANY OF ITS AFFILIATES FOR ANY SPECIAL, PUNITIVE, INDIRECT, INCIDENTAL OR CONSEQUENTIAL DAMAGES, INCLUDING LOST PROFITS OR LOST REVENUES, REGARDLESS OF ANY NOTICE OF THE POSSIBILITY OF SUCH DAMAGES. NOTWITHSTANDING THE FOREGOING, NOTHING IN THIS SECTION 10.4 IS INTENDED TO OR SHALL LIMIT OR RESTRICT THE INDEMNIFICATION RIGHTS OR OBLIGATIONS OF EITHER PARTY UNDER SECTIONS 10.1 OR 10.2, OR DAMAGES AVAILABLE FOR A PARTY’S GROSS NEGLIGENCE OR WILLFUL MISCONDUCT OR A PARTY’S BREACH OF THE INTELLECTUAL PROPERTY OBLIGATIONS IN ARTICLE 6 OR THE CONFIDENTIALITY OBLIGATIONS IN SECTION 8.1.</w:t>
      </w:r>
    </w:p>
    <w:p>
      <w:pPr>
        <w:spacing w:after="0" w:line="18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procure and maintain insurance, including product liability insurance, or shall self-insure, in each case in a manner adequate to cover its obligations under this Agreement and consistent with normal business practices of prudent companies similarly situated at all times during the term of this Agreement and for a period of five (5) years thereafter. Each Party shall procure insurance or self-insure at its own expense. It is understood that such insurance shall not be construed to create a limit of either Party’s liability with respect to its indemnification obligations under this Article 10. Each Party shall provide the other Party with written evidence of such insurance or self-insurance upon request. Each Party shall provide the other Party with written notice at least thirty (30) days prior to the cancellation, non-renewal or material change in such insurance.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 / Miscellaneous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have any liability or be deemed to be in breach of this Agreement for any delays or failures in performance of this Agreement that result from a Force Majeure. The Party affected by such circumstances shall promptly notify the other Party in writing when such circumstances cause a delay or failure in performance and when they cease to do so.</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only be amended in a writing signed by duly authorized representatives of both Ocugen and CanSino.</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on the part of either Party to exercise any right or remedy under this Agreement shall be construed or operate as a waiver thereof, nor shall</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any single or partial exercise of any right or remedy preclude the further exercise of such right or remedy.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Invalid Clauses</w:t>
      </w:r>
      <w:r>
        <w:rPr>
          <w:rFonts w:ascii="Times New Roman" w:cs="Times New Roman" w:eastAsia="Times New Roman" w:hAnsi="Times New Roman"/>
          <w:sz w:val="18"/>
          <w:szCs w:val="18"/>
          <w:color w:val="auto"/>
        </w:rPr>
        <w:t>. If any provision or part of this Agreement is held to be invalid, amendments to this Agreement may be made by the addition or deletion of wording as appropriate to remove the invalid part or provision but otherwise retain the provision and the other provisions of this Agreement to the maximum extent permissible under Applicable Laws.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this Agreement shall be in writing and shall be sent by registered mail or e-mail (confirmed by registered mail) to the address of the relevant Party set out below, or to such other address or email as that Party may from time to time notify to the other Party in accordance with this Section 11.5. The addresses and emails of the Parties are as follows: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 the case of Ocugen,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Shankar Musunuri</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Chairman, CEO and Co-Founder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Ocugen, Inc.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5 Great Valley Parkway, Suite 160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Malvern, PA 19355, USA</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Tel: [***]</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Deborah Spranger, Esq.</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Pepper Hamilton LLP</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400 Berwyn Park</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899 Cassatt Road</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Berwyn, PA 19312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Tel: [***]</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 the case of CanSino,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Yuan Zhou</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Legal Manager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Address: 185 South Avenue, West District of TEDA, Tianjin, China</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Tel: [***]</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Before any dispute, difference or disagreement concerning this Agreement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proceeds to arbitration in accordance with this Section 11.6, the Parties shall seek to resolve the matter within the next thirty (30) days by referring it to each Party’s Chief Executive Officer. The Parties’ respective Chief Executive Officers</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31" w:name="page132"/>
    <w:bookmarkEnd w:id="131"/>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(or their designees) shall promptly meet in good faith to try to resolve the Dispute. Any unresolved Dispute shall be resolved by binding arbitration conducted at the Hong Kong International Arbitration Centre in accordance with the HKIAC’s Procedures for Arbitration in force on the Effective Date. The arbitration shall be conducted in the English language and the award thus rendered shall be final and binding upon both Parties and enforceable in any court having jurisdiction thereof in accordance with its terms. The arbitration tribunal shall consist of three (3) arbitrators. Each Party shall select one (1) arbitrator, and the two (2) arbitrators so selected shall choose a third arbitrator who will act as the chairman of the tribunal,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if the two arbitrators fail to choose a third arbitrator within thirty (30) days after their appointment, then either or both Parties shall immediately request that the HKIAC select the third arbitrator. The place of arbitration shall be Hong Kong (at the HKIAC). Each Party shall bear its own costs and expenses and attorneys’ fees in connection with any such arbitration.</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Law and Jurisdiction</w:t>
      </w:r>
      <w:r>
        <w:rPr>
          <w:rFonts w:ascii="Times New Roman" w:cs="Times New Roman" w:eastAsia="Times New Roman" w:hAnsi="Times New Roman"/>
          <w:sz w:val="18"/>
          <w:szCs w:val="18"/>
          <w:color w:val="auto"/>
        </w:rPr>
        <w:t>. The validity, construction and performance of this Agreement shall be governed by the laws of the United Kingdom, without regard to the application of principles of conflicts of law.</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Announcements</w:t>
      </w:r>
      <w:r>
        <w:rPr>
          <w:rFonts w:ascii="Times New Roman" w:cs="Times New Roman" w:eastAsia="Times New Roman" w:hAnsi="Times New Roman"/>
          <w:sz w:val="18"/>
          <w:szCs w:val="18"/>
          <w:color w:val="auto"/>
        </w:rPr>
        <w:t>. Neither Party shall make any press or other public announcement concerning any aspect of this Agreement, or make any use of the name of the other Party in connection with or in consequence of this Agreement, without the prior written consent of the other Party.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its Exhibits and Schedules, sets out the entire agreement between the Parties relating to its subject matter and supersedes all prior oral or written agreements, arrangements or understandings between them relating to such subject matter. The Parties acknowledge that they are not relying on any representation, agreement, term or condition which is not set out in this Agreement.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Purposes and Scope</w:t>
      </w:r>
      <w:r>
        <w:rPr>
          <w:rFonts w:ascii="Times New Roman" w:cs="Times New Roman" w:eastAsia="Times New Roman" w:hAnsi="Times New Roman"/>
          <w:sz w:val="18"/>
          <w:szCs w:val="18"/>
          <w:color w:val="auto"/>
        </w:rPr>
        <w:t>. The Parties understand and agree that the relationship between the Parties described herein is limited to the activities, rights and obligations as set forth in this Agreement. Nothing in this Agreement shall be construed (a) to create or imply a general partnership between the Parties,</w:t>
      </w:r>
    </w:p>
    <w:p>
      <w:pPr>
        <w:ind w:right="400" w:firstLine="8"/>
        <w:spacing w:after="0" w:line="255"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either Party the agent of the other for any purpose, (c) to alter, amend, supersede or vitiate any other arrangements between the Parties with respect to any subject matter not covered hereunder, (d) to give either Party the right to bind the other, (e) to create any duties or obligations between the Parties except as expressly set forth herein, or (f) to grant any direct or implied licenses or any other rights other than as expressly set forth herein.</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2" w:name="page133"/>
    <w:bookmarkEnd w:id="132"/>
    <w:p>
      <w:pPr>
        <w:spacing w:after="0" w:line="255"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 xml:space="preserve">. Neither this Agreement nor any obligation of a Party hereunder may be assigned by either Party without the written consent of the other, which consent shall not be unreasonably withheld, conditioned or delayed, except that Ocugen may assign this Agreement and the rights, obligations and interests of Ocugen without such consent (a) in whole or in part, to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Ocugen shall remain liable and responsible to CanSino for the performance and observance of all such duties and obligations by such Affiliates, or (b) in whole, but not in part, to any purchaser of all or substantially all of its assets or all or substantially all of its assets to which this Agreement relates, or shares representing a majority of its common stock voting rights or to any successor company resulting from any merger, consolidation, share exchange or other similar transaction. Any permitted assignment to a third party shall be for the whole (and not part) of this Agreement.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Further Assurances and Actions</w:t>
      </w:r>
      <w:r>
        <w:rPr>
          <w:rFonts w:ascii="Times New Roman" w:cs="Times New Roman" w:eastAsia="Times New Roman" w:hAnsi="Times New Roman"/>
          <w:sz w:val="18"/>
          <w:szCs w:val="18"/>
          <w:color w:val="auto"/>
        </w:rPr>
        <w:t>. Each Party, upon the request of the other Party, whether before or after the Effective Date and without further consideration, will do, execute, acknowledge and deliver, or cause to be done, executed, acknowledged or delivered, all such further acts, deeds, documents, assignments, transfers, conveyances, powers of attorney, instruments and assurances as may be reasonably necessary to effect complete consummation of the transactions contemplated by this Agreement, and to do all such other acts as may be necessary or appropriate in order to carry out the purposes and intent of this Agreement. The Parties agree to execute and deliver such other documents, certificates, agreements and other writings and to take such other actions as may be reasonably necessary in order to consummate or implement expeditiously the transactions contemplated by this Agreement.</w:t>
      </w:r>
    </w:p>
    <w:p>
      <w:pPr>
        <w:spacing w:after="0" w:line="18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of the Parties will bear its own direct and indirect expenses incurred in connection with the negotiation and preparation of this Agreement and, except as set forth in this Agreement, the performance of the obligations contemplated hereby and thereby.</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their duly authorized representatives to execute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Ocugen, Inc.</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CanSino Biologics Inc.</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Shankar Musunuri</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 Shou Bai CHAO</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6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0" w:type="dxa"/>
            <w:vAlign w:val="bottom"/>
          </w:tcPr>
          <w:p>
            <w:pPr>
              <w:spacing w:after="0"/>
              <w:rPr>
                <w:sz w:val="19"/>
                <w:szCs w:val="19"/>
                <w:color w:val="auto"/>
              </w:rPr>
            </w:pPr>
          </w:p>
        </w:tc>
      </w:tr>
      <w:tr>
        <w:trPr>
          <w:trHeight w:val="41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Shankar Musunuri</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Shou Bai CHAO</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46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40" w:type="dxa"/>
            <w:vAlign w:val="bottom"/>
          </w:tcPr>
          <w:p>
            <w:pPr>
              <w:spacing w:after="0"/>
              <w:rPr>
                <w:sz w:val="19"/>
                <w:szCs w:val="19"/>
                <w:color w:val="auto"/>
              </w:rPr>
            </w:pPr>
          </w:p>
        </w:tc>
      </w:tr>
      <w:tr>
        <w:trPr>
          <w:trHeight w:val="41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19"/>
                <w:szCs w:val="19"/>
                <w:color w:val="auto"/>
              </w:rPr>
            </w:pPr>
          </w:p>
        </w:tc>
      </w:tr>
      <w:tr>
        <w:trPr>
          <w:trHeight w:val="41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9/27/2019</w:t>
            </w:r>
          </w:p>
        </w:tc>
        <w:tc>
          <w:tcPr>
            <w:tcW w:w="5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9/27/2019</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46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4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INITIAL DEVELOPMENT PLAN</w:t>
      </w:r>
    </w:p>
    <w:p>
      <w:pPr>
        <w:spacing w:after="0" w:line="241" w:lineRule="exact"/>
        <w:rPr>
          <w:sz w:val="20"/>
          <w:szCs w:val="20"/>
          <w:color w:val="auto"/>
        </w:rPr>
      </w:pPr>
    </w:p>
    <w:p>
      <w:pPr>
        <w:ind w:left="4420" w:right="4219" w:hanging="191"/>
        <w:spacing w:after="0" w:line="532" w:lineRule="auto"/>
        <w:tabs>
          <w:tab w:leader="none" w:pos="433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-92075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SERI AGREEMENT</w:t>
      </w:r>
    </w:p>
    <w:p>
      <w:pPr>
        <w:spacing w:after="0" w:line="241" w:lineRule="exact"/>
        <w:rPr>
          <w:sz w:val="20"/>
          <w:szCs w:val="20"/>
          <w:color w:val="auto"/>
        </w:rPr>
      </w:pPr>
    </w:p>
    <w:p>
      <w:pPr>
        <w:ind w:left="4420" w:right="4219" w:hanging="191"/>
        <w:spacing w:after="0" w:line="532" w:lineRule="auto"/>
        <w:tabs>
          <w:tab w:leader="none" w:pos="433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-92075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ectPr>
          <w:pgSz w:w="11900" w:h="16838" w:orient="portrait"/>
          <w:cols w:equalWidth="0" w:num="1">
            <w:col w:w="9019"/>
          </w:cols>
          <w:pgMar w:left="1440" w:top="333" w:right="1440" w:bottom="1440" w:gutter="0" w:footer="0" w:header="0"/>
        </w:sect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Timeline</w:t>
      </w:r>
    </w:p>
    <w:p>
      <w:pPr>
        <w:spacing w:after="0" w:line="241" w:lineRule="exact"/>
        <w:rPr>
          <w:sz w:val="20"/>
          <w:szCs w:val="20"/>
          <w:color w:val="auto"/>
        </w:rPr>
      </w:pPr>
    </w:p>
    <w:p>
      <w:pPr>
        <w:ind w:left="4420" w:right="4219" w:hanging="191"/>
        <w:spacing w:after="0" w:line="532" w:lineRule="auto"/>
        <w:tabs>
          <w:tab w:leader="none" w:pos="433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-92075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OCUGEN PATENT RIGHTS</w:t>
      </w:r>
    </w:p>
    <w:p>
      <w:pPr>
        <w:spacing w:after="0" w:line="241" w:lineRule="exact"/>
        <w:rPr>
          <w:sz w:val="20"/>
          <w:szCs w:val="20"/>
          <w:color w:val="auto"/>
        </w:rPr>
      </w:pPr>
    </w:p>
    <w:p>
      <w:pPr>
        <w:ind w:left="4420" w:right="4219" w:hanging="191"/>
        <w:spacing w:after="0" w:line="532" w:lineRule="auto"/>
        <w:tabs>
          <w:tab w:leader="none" w:pos="433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-92075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EXECUTIVE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the September 10, 2019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Ocugen,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Sanjay Subramanian, an individual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wishes to employ Employee and Employee wishes to be employed by the Company with the employment starting date on October 1, 2019. The parties have now determined it is in its best interest to enter into this Agreement to set forth the terms and conditions of Employee’s employment with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facts, mutual promises and covenants contained herein and intending to be legally bound hereby,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Employee agree as follows:</w:t>
      </w:r>
    </w:p>
    <w:p>
      <w:pPr>
        <w:spacing w:after="0" w:line="207"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shall have the meanings set forth below unless the contexts otherwise requires:</w:t>
      </w:r>
    </w:p>
    <w:p>
      <w:pPr>
        <w:spacing w:after="0" w:line="221" w:lineRule="exact"/>
        <w:rPr>
          <w:sz w:val="20"/>
          <w:szCs w:val="20"/>
          <w:color w:val="auto"/>
        </w:rPr>
      </w:pPr>
    </w:p>
    <w:p>
      <w:pPr>
        <w:ind w:right="6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with respect to a person, all other persons controlling, controlled by or under common control with the first person; the term “control,” and correlative terms, means the power, whether by contract, equity ownership or otherwise, to direct the policies or management of a person; and “person” means an individual, partnership, corporation, limited liability company, trust or unincorporated organization, or a government or agency or political subdivision thereof.</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Compensation</w:t>
      </w:r>
      <w:r>
        <w:rPr>
          <w:rFonts w:ascii="Times New Roman" w:cs="Times New Roman" w:eastAsia="Times New Roman" w:hAnsi="Times New Roman"/>
          <w:sz w:val="18"/>
          <w:szCs w:val="18"/>
          <w:color w:val="auto"/>
        </w:rPr>
        <w:t>” shall mean the annual rate of compensation set forth in Section 4.1, as such amount may be adjusted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Company’s Board of Directors.</w:t>
      </w:r>
    </w:p>
    <w:p>
      <w:pPr>
        <w:spacing w:after="0" w:line="225" w:lineRule="exact"/>
        <w:rPr>
          <w:sz w:val="20"/>
          <w:szCs w:val="20"/>
          <w:color w:val="auto"/>
        </w:rPr>
      </w:pPr>
    </w:p>
    <w:p>
      <w:pPr>
        <w:ind w:right="3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occurrence of any one or more of the events set forth below in clauses (a) through (d), which, in the case of the event or events set forth below in clause (a) is not cured by Employee within the time periods set forth therein:</w:t>
      </w:r>
    </w:p>
    <w:p>
      <w:pPr>
        <w:spacing w:after="0" w:line="159" w:lineRule="exact"/>
        <w:rPr>
          <w:sz w:val="20"/>
          <w:szCs w:val="20"/>
          <w:color w:val="auto"/>
        </w:rPr>
      </w:pPr>
    </w:p>
    <w:p>
      <w:pPr>
        <w:ind w:firstLine="1953"/>
        <w:spacing w:after="0" w:line="261" w:lineRule="auto"/>
        <w:tabs>
          <w:tab w:leader="none" w:pos="259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refusal by Employee to make a reasonable attempt to substantially perform a material portion of the duties of his employment or to comply with the written rules and policies of the Company which failure continues uncured fifteen (15) days after written notice of such failure or refusal (or such longer period as is necessary to cure such event so long as Employee is diligently pursuing such cure and provided such additional period is approved by the CEO) is provided to Employee setting forth in reasonable detail the nature of such failure or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9" w:name="page140"/>
    <w:bookmarkEnd w:id="139"/>
    <w:p>
      <w:pPr>
        <w:ind w:left="2600" w:hanging="647"/>
        <w:spacing w:after="0"/>
        <w:tabs>
          <w:tab w:leader="none" w:pos="2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repeatedly engaging in willful and serious misconduct in connection with his employment;</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by Employee in fraudulent conduct; or</w:t>
      </w:r>
    </w:p>
    <w:p>
      <w:pPr>
        <w:spacing w:after="0" w:line="225" w:lineRule="exact"/>
        <w:rPr>
          <w:rFonts w:ascii="Times New Roman" w:cs="Times New Roman" w:eastAsia="Times New Roman" w:hAnsi="Times New Roman"/>
          <w:sz w:val="18"/>
          <w:szCs w:val="18"/>
          <w:color w:val="auto"/>
        </w:rPr>
      </w:pPr>
    </w:p>
    <w:p>
      <w:pPr>
        <w:ind w:right="700" w:firstLine="1953"/>
        <w:spacing w:after="0" w:line="282" w:lineRule="auto"/>
        <w:tabs>
          <w:tab w:leader="none" w:pos="26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conviction of, or plea of no contest to, (i) a felony or (ii) other crime the circumstances of which are substantially related to the Employee’s position.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(i) the closing of the sale, transfer or other disposition of all or substantially all of the Company’s assets,</w:t>
      </w:r>
    </w:p>
    <w:p>
      <w:pPr>
        <w:spacing w:after="0" w:line="31" w:lineRule="exact"/>
        <w:rPr>
          <w:sz w:val="20"/>
          <w:szCs w:val="20"/>
          <w:color w:val="auto"/>
        </w:rPr>
      </w:pPr>
    </w:p>
    <w:p>
      <w:pPr>
        <w:ind w:right="120" w:firstLine="8"/>
        <w:spacing w:after="0" w:line="251" w:lineRule="auto"/>
        <w:tabs>
          <w:tab w:leader="none" w:pos="2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group of persons in any transaction or series of related transactions of direct or indirect beneficial ownership (within the meaning of Section 13(d) of the Securities Exchange Act of 1934), other than the Current Holders of Securities of the Company, of the power, directly or indirectly, to vote or direct the voting of securities having more than 50% of the ordinary voting power for the election of directors of the Company, (iii) the consummation of the merger or consolidation of the Company with or into another entity (except a merger or consolidation in which the holders of capital stock of the Company immediately prior to such merger or consolidation continue to hold not less than fifty percent (50%) of the voting power of the capital stock of the Company or the surviving or acquiring entity immediately following such merger or consolidation), or (iv) a liquidation, dissolution or winding up of the Company; provided, however, that a transaction shall not constitute a Change of Control if the Change of Control is the result of an equity or debt financing, or if its sole purpose is to change the state of the Company’s incorporation or to create a holding company that will be owned in substantially the same proportions by the persons who held the Company’s securities immediately prior to such transaction.</w:t>
      </w:r>
    </w:p>
    <w:p>
      <w:pPr>
        <w:spacing w:after="0" w:line="190" w:lineRule="exact"/>
        <w:rPr>
          <w:sz w:val="20"/>
          <w:szCs w:val="20"/>
          <w:color w:val="auto"/>
        </w:rPr>
      </w:pPr>
    </w:p>
    <w:p>
      <w:pPr>
        <w:ind w:right="260" w:firstLine="129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Holders of Securities of the Company</w:t>
      </w:r>
      <w:r>
        <w:rPr>
          <w:rFonts w:ascii="Times New Roman" w:cs="Times New Roman" w:eastAsia="Times New Roman" w:hAnsi="Times New Roman"/>
          <w:sz w:val="18"/>
          <w:szCs w:val="18"/>
          <w:color w:val="auto"/>
        </w:rPr>
        <w:t>” shall mean the current holders of issued and outstanding “Securities” of the Company, their “Affiliates” (as such terms are defined herein), and their respective employees, officers, directors, blood or legal relatives, guardians, legal representatives, and trusts for the primary benefit of any of such persons.</w:t>
      </w:r>
    </w:p>
    <w:p>
      <w:pPr>
        <w:spacing w:after="0" w:line="171" w:lineRule="exact"/>
        <w:rPr>
          <w:sz w:val="20"/>
          <w:szCs w:val="20"/>
          <w:color w:val="auto"/>
        </w:rPr>
      </w:pPr>
    </w:p>
    <w:p>
      <w:pPr>
        <w:ind w:firstLine="12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Employee’s inability, for a period of six (6) consecutive months, or a cumulative period of one hundred eighty (180) business days out of a period of twelve (12) consecutive months, to perform the essential duties of Employee’s position, even after taking into account any reasonable accommodation required by law, due to a mental or physical impairment. The determination of whether Employee is suffering from a Disability shall be made either (a) by an independent physician, mutually chosen by Employee and the Company; or (b) because Employee qualifies as disabled for purposes of the Company’s long-term insurance disability plan, if applicable.</w:t>
      </w:r>
    </w:p>
    <w:p>
      <w:pPr>
        <w:spacing w:after="0" w:line="180" w:lineRule="exact"/>
        <w:rPr>
          <w:sz w:val="20"/>
          <w:szCs w:val="20"/>
          <w:color w:val="auto"/>
        </w:rPr>
      </w:pPr>
    </w:p>
    <w:p>
      <w:pPr>
        <w:ind w:right="20" w:firstLine="129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mean the occurrence of one or more of the events set forth in clauses (a) through (e) below without the consent of Employee, provided that (i) Employee delivers written notice to the Company of Employee’s intention to resign from employment due to one or more of such events, which notice specifies in reasonable detail the circumstances claimed to provide the basis for such resignation, (ii) such event or events are not cured by the Company within thirty (30) days following delivery of such written notice and (iii) if not cured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by the Company, Employee resigns his employment within fifteen (15) days following the Company’s cure period:</w:t>
      </w:r>
    </w:p>
    <w:p>
      <w:pPr>
        <w:spacing w:after="0" w:line="225" w:lineRule="exact"/>
        <w:rPr>
          <w:sz w:val="20"/>
          <w:szCs w:val="20"/>
          <w:color w:val="auto"/>
        </w:rPr>
      </w:pPr>
    </w:p>
    <w:p>
      <w:pPr>
        <w:ind w:left="2600" w:hanging="647"/>
        <w:spacing w:after="0"/>
        <w:tabs>
          <w:tab w:leader="none" w:pos="26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Employee’s annual rate of Base Compensation unless such reduction is made across all executives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w:t>
      </w:r>
    </w:p>
    <w:p>
      <w:pPr>
        <w:spacing w:after="0" w:line="206" w:lineRule="exact"/>
        <w:rPr>
          <w:rFonts w:ascii="Times New Roman" w:cs="Times New Roman" w:eastAsia="Times New Roman" w:hAnsi="Times New Roman"/>
          <w:sz w:val="18"/>
          <w:szCs w:val="18"/>
          <w:color w:val="auto"/>
        </w:rPr>
      </w:pPr>
    </w:p>
    <w:p>
      <w:pPr>
        <w:ind w:right="60" w:firstLine="1953"/>
        <w:spacing w:after="0" w:line="282" w:lineRule="auto"/>
        <w:tabs>
          <w:tab w:leader="none" w:pos="26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or material reduction of a material benefit under any Company benefit plans, programs or arrangements, in which the Employee participates unless such termination or reduction is made across all executives or employees of the Company;</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Employee’s job title, powers or authority;</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reporting relationship;</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material failure to comply with the terms of this Agreement or any stock option or similar agreement with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Employee then in effect;</w:t>
      </w:r>
    </w:p>
    <w:p>
      <w:pPr>
        <w:spacing w:after="0" w:line="206" w:lineRule="exact"/>
        <w:rPr>
          <w:rFonts w:ascii="Times New Roman" w:cs="Times New Roman" w:eastAsia="Times New Roman" w:hAnsi="Times New Roman"/>
          <w:sz w:val="17"/>
          <w:szCs w:val="17"/>
          <w:color w:val="auto"/>
        </w:rPr>
      </w:pPr>
    </w:p>
    <w:p>
      <w:pPr>
        <w:ind w:right="140" w:firstLine="1953"/>
        <w:spacing w:after="0" w:line="282" w:lineRule="auto"/>
        <w:tabs>
          <w:tab w:leader="none" w:pos="259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by the Company that Employee relocate or transfer Employee’s principal office to a location more than 50 miles from Malvern, PA Office (except that the requirement to travel in Section 2.3 shall not trigger this subsection (e)).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have the meaning set forth in Section 8 hereof.</w:t>
      </w:r>
    </w:p>
    <w:p>
      <w:pPr>
        <w:spacing w:after="0" w:line="225" w:lineRule="exact"/>
        <w:rPr>
          <w:sz w:val="20"/>
          <w:szCs w:val="20"/>
          <w:color w:val="auto"/>
        </w:rPr>
      </w:pPr>
    </w:p>
    <w:p>
      <w:pPr>
        <w:ind w:right="38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shall mean a period of twelve months (12) immediately following the effective date of termination of Employee’s employment hereunder if such termination is by the Company without Cause or by Employee for Good Reason.</w:t>
      </w:r>
    </w:p>
    <w:p>
      <w:pPr>
        <w:spacing w:after="0" w:line="155" w:lineRule="exact"/>
        <w:rPr>
          <w:sz w:val="20"/>
          <w:szCs w:val="20"/>
          <w:color w:val="auto"/>
        </w:rPr>
      </w:pPr>
    </w:p>
    <w:p>
      <w:pPr>
        <w:ind w:right="40" w:firstLine="129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any and all securities as such term is defined in Section 2 of the Securities Act of 1933, as amended, including, without limitation, all common stock, preferred stock, convertible promissory notes, subordinated debt instruments, and other securities issued by the Company.</w:t>
      </w:r>
    </w:p>
    <w:p>
      <w:pPr>
        <w:spacing w:after="0" w:line="159"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Contingent Employment; Employment and Duties.</w:t>
      </w:r>
    </w:p>
    <w:p>
      <w:pPr>
        <w:spacing w:after="0" w:line="225"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18"/>
          <w:szCs w:val="18"/>
          <w:color w:val="auto"/>
        </w:rPr>
        <w:t>2.1. As of the Effective Date, Company hereby employs Employee and Employee hereby accepts appointment as the Chief Financial Officer (“</w:t>
      </w:r>
      <w:r>
        <w:rPr>
          <w:rFonts w:ascii="Times New Roman" w:cs="Times New Roman" w:eastAsia="Times New Roman" w:hAnsi="Times New Roman"/>
          <w:sz w:val="18"/>
          <w:szCs w:val="18"/>
          <w:b w:val="1"/>
          <w:bCs w:val="1"/>
          <w:i w:val="1"/>
          <w:iCs w:val="1"/>
          <w:color w:val="auto"/>
        </w:rPr>
        <w:t>CFO</w:t>
      </w:r>
      <w:r>
        <w:rPr>
          <w:rFonts w:ascii="Times New Roman" w:cs="Times New Roman" w:eastAsia="Times New Roman" w:hAnsi="Times New Roman"/>
          <w:sz w:val="18"/>
          <w:szCs w:val="18"/>
          <w:color w:val="auto"/>
        </w:rPr>
        <w:t>”) reporting to the Chief Executive Officer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company. Employee shall be member of the Executive Management Team. Employee shall be responsible for all duties and entitled to all authority customarily assigned to the position of CFO, including those duties described on Exhibit A hereto, as well as those other duties and such other authority as specified by the CEO. The Employee should be available to meet periodically with the Chairman of the Audit Committee to discuss financial statement reporting and internal controls.</w:t>
      </w:r>
    </w:p>
    <w:p>
      <w:pPr>
        <w:spacing w:after="0" w:line="184" w:lineRule="exact"/>
        <w:rPr>
          <w:sz w:val="20"/>
          <w:szCs w:val="20"/>
          <w:color w:val="auto"/>
        </w:rPr>
      </w:pPr>
    </w:p>
    <w:p>
      <w:pPr>
        <w:ind w:right="440" w:firstLine="1297"/>
        <w:spacing w:after="0" w:line="282" w:lineRule="auto"/>
        <w:rPr>
          <w:sz w:val="20"/>
          <w:szCs w:val="20"/>
          <w:color w:val="auto"/>
        </w:rPr>
      </w:pPr>
      <w:r>
        <w:rPr>
          <w:rFonts w:ascii="Times New Roman" w:cs="Times New Roman" w:eastAsia="Times New Roman" w:hAnsi="Times New Roman"/>
          <w:sz w:val="18"/>
          <w:szCs w:val="18"/>
          <w:color w:val="auto"/>
        </w:rPr>
        <w:t>2.2. Employee shall render such services as are necessary and desirable to protect and advance the best interests of the Company, acting, in all instances, under the supervision of the CEO and in accordance with the policies set by the Company.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1" w:name="page142"/>
    <w:bookmarkEnd w:id="141"/>
    <w:p>
      <w:pPr>
        <w:ind w:firstLine="1297"/>
        <w:spacing w:after="0" w:line="255" w:lineRule="auto"/>
        <w:rPr>
          <w:sz w:val="20"/>
          <w:szCs w:val="20"/>
          <w:color w:val="auto"/>
        </w:rPr>
      </w:pPr>
      <w:r>
        <w:rPr>
          <w:rFonts w:ascii="Times New Roman" w:cs="Times New Roman" w:eastAsia="Times New Roman" w:hAnsi="Times New Roman"/>
          <w:sz w:val="18"/>
          <w:szCs w:val="18"/>
          <w:color w:val="auto"/>
        </w:rPr>
        <w:t>2.3. So long as Employee shall remain an employee of the Company, except as provided below, Employee’s entire working time, energy, skill and efforts shall be devoted to the performance of Employee’s duties hereunder in a manner that will faithfully and diligently further the business and interests of the Company; provided, however, that Employee may (i) serve on corporate, civic or charitable boards or committees; (ii) deliver lectures, fulfill speaking engagements or teach at educational institutions; (iii) manage personal passive investments; (iv) act in a limited role as an advisor; or</w:t>
      </w:r>
    </w:p>
    <w:p>
      <w:pPr>
        <w:spacing w:after="0" w:line="3" w:lineRule="exact"/>
        <w:rPr>
          <w:sz w:val="20"/>
          <w:szCs w:val="20"/>
          <w:color w:val="auto"/>
        </w:rPr>
      </w:pPr>
    </w:p>
    <w:p>
      <w:pPr>
        <w:ind w:right="60" w:firstLine="8"/>
        <w:spacing w:after="0" w:line="254" w:lineRule="auto"/>
        <w:tabs>
          <w:tab w:leader="none" w:pos="3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such other endeavors as may be consented to by the CEO, in each case so long as the foregoing activities, in the aggregate, do not materially interfere with the performance of Employee’s duties to the Company in accordance with this Agreement. Employee will be based out of and shall work from Malvern, PA office provided by the Company or other mutually agreeable office. It is anticipated that a substantial amount of travel may be required of the Employee in connection with the performance of his duties.</w:t>
      </w:r>
    </w:p>
    <w:p>
      <w:pPr>
        <w:spacing w:after="0" w:line="185" w:lineRule="exact"/>
        <w:rPr>
          <w:rFonts w:ascii="Times New Roman" w:cs="Times New Roman" w:eastAsia="Times New Roman" w:hAnsi="Times New Roman"/>
          <w:sz w:val="18"/>
          <w:szCs w:val="18"/>
          <w:color w:val="auto"/>
        </w:rPr>
      </w:pPr>
    </w:p>
    <w:p>
      <w:pPr>
        <w:ind w:right="780" w:firstLine="656"/>
        <w:spacing w:after="0" w:line="282" w:lineRule="auto"/>
        <w:tabs>
          <w:tab w:leader="none" w:pos="12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Employee’s employment under this Agreement shall commence on the Effective Date and shall continue until Employee’s employment is terminated pursuant to Section 6.</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p>
    <w:p>
      <w:pPr>
        <w:spacing w:after="0" w:line="225" w:lineRule="exact"/>
        <w:rPr>
          <w:sz w:val="20"/>
          <w:szCs w:val="20"/>
          <w:color w:val="auto"/>
        </w:rPr>
      </w:pPr>
    </w:p>
    <w:p>
      <w:pPr>
        <w:ind w:right="40" w:firstLine="1297"/>
        <w:spacing w:after="0" w:line="275" w:lineRule="auto"/>
        <w:rPr>
          <w:sz w:val="20"/>
          <w:szCs w:val="20"/>
          <w:color w:val="auto"/>
        </w:rPr>
      </w:pPr>
      <w:r>
        <w:rPr>
          <w:rFonts w:ascii="Times New Roman" w:cs="Times New Roman" w:eastAsia="Times New Roman" w:hAnsi="Times New Roman"/>
          <w:sz w:val="18"/>
          <w:szCs w:val="18"/>
          <w:color w:val="auto"/>
        </w:rPr>
        <w:t>4.1. Employee shall receive Base Compensation at the initial gross annual rate (without regard to authorized tax or other legally required deductions and withholdings) of $325,000, payable in installments in accordance with the Company’s regular payroll practices in effect from time to time.</w:t>
      </w:r>
    </w:p>
    <w:p>
      <w:pPr>
        <w:spacing w:after="0" w:line="390" w:lineRule="exact"/>
        <w:rPr>
          <w:sz w:val="20"/>
          <w:szCs w:val="20"/>
          <w:color w:val="auto"/>
        </w:rPr>
      </w:pPr>
    </w:p>
    <w:p>
      <w:pPr>
        <w:ind w:right="120" w:firstLine="1297"/>
        <w:spacing w:after="0" w:line="241" w:lineRule="auto"/>
        <w:rPr>
          <w:sz w:val="20"/>
          <w:szCs w:val="20"/>
          <w:color w:val="auto"/>
        </w:rPr>
      </w:pPr>
      <w:r>
        <w:rPr>
          <w:rFonts w:ascii="Times New Roman" w:cs="Times New Roman" w:eastAsia="Times New Roman" w:hAnsi="Times New Roman"/>
          <w:sz w:val="18"/>
          <w:szCs w:val="18"/>
          <w:color w:val="auto"/>
        </w:rPr>
        <w:t>4.2. In the sole discretion of the CEO within the guidelines set by the Board for the Executive Management Team, the Company may pay to Employee an annual bonus at a target level of 30% of Employee’s Base Compensation (the “</w:t>
      </w:r>
      <w:r>
        <w:rPr>
          <w:rFonts w:ascii="Times New Roman" w:cs="Times New Roman" w:eastAsia="Times New Roman" w:hAnsi="Times New Roman"/>
          <w:sz w:val="18"/>
          <w:szCs w:val="18"/>
          <w:b w:val="1"/>
          <w:bCs w:val="1"/>
          <w:i w:val="1"/>
          <w:iCs w:val="1"/>
          <w:color w:val="auto"/>
        </w:rPr>
        <w:t>Target Bonus</w:t>
      </w:r>
      <w:r>
        <w:rPr>
          <w:rFonts w:ascii="Times New Roman" w:cs="Times New Roman" w:eastAsia="Times New Roman" w:hAnsi="Times New Roman"/>
          <w:sz w:val="18"/>
          <w:szCs w:val="18"/>
          <w:color w:val="auto"/>
        </w:rPr>
        <w:t>”), based upon performance criteria set for Employee by the Board and certain other factors, including the Company’s performance, financial stability, availability of cash, industry benchmarks and standards and market conditions. Any annual bonus so awarded shall be payable by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for the Employee’s performance in the previous year (the “</w:t>
      </w:r>
      <w:r>
        <w:rPr>
          <w:rFonts w:ascii="Times New Roman" w:cs="Times New Roman" w:eastAsia="Times New Roman" w:hAnsi="Times New Roman"/>
          <w:sz w:val="18"/>
          <w:szCs w:val="18"/>
          <w:b w:val="1"/>
          <w:bCs w:val="1"/>
          <w:i w:val="1"/>
          <w:iCs w:val="1"/>
          <w:color w:val="auto"/>
        </w:rPr>
        <w:t>Measuring Year</w:t>
      </w:r>
      <w:r>
        <w:rPr>
          <w:rFonts w:ascii="Times New Roman" w:cs="Times New Roman" w:eastAsia="Times New Roman" w:hAnsi="Times New Roman"/>
          <w:sz w:val="18"/>
          <w:szCs w:val="18"/>
          <w:color w:val="auto"/>
        </w:rPr>
        <w:t>”). To be eligible for an annual bonus, the Employee must be employed on the date such bonus is paid.</w:t>
      </w:r>
    </w:p>
    <w:p>
      <w:pPr>
        <w:spacing w:after="0" w:line="200" w:lineRule="exact"/>
        <w:rPr>
          <w:sz w:val="20"/>
          <w:szCs w:val="20"/>
          <w:color w:val="auto"/>
        </w:rPr>
      </w:pPr>
    </w:p>
    <w:p>
      <w:pPr>
        <w:ind w:right="80" w:firstLine="1297"/>
        <w:spacing w:after="0" w:line="256" w:lineRule="auto"/>
        <w:rPr>
          <w:sz w:val="20"/>
          <w:szCs w:val="20"/>
          <w:color w:val="auto"/>
        </w:rPr>
      </w:pPr>
      <w:r>
        <w:rPr>
          <w:rFonts w:ascii="Times New Roman" w:cs="Times New Roman" w:eastAsia="Times New Roman" w:hAnsi="Times New Roman"/>
          <w:sz w:val="18"/>
          <w:szCs w:val="18"/>
          <w:color w:val="auto"/>
        </w:rPr>
        <w:t>4.3. As soon as practicable but in no event later than the Company’s anticipated reverse merger transaction, Employee shall be granted an option to purchase fifty thousand (50,000) shares of the Company’s common stock (with such number of shares subject to adjustment in connection with the reverse merger transaction or any similar transaction) pursuant to the terms of the Company’s 2014 Equity Stock Option Incentive Plan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The Option Award shall be subject to an award agreement and shall vest in three equal installments over the 3-year period on the anniversary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Effective Date. The Option Award shall have an exercise price equal to the fair market value of the Company’s common stock on the date of grant. Employee may be eligible to participate in future stock option awards at the sole discretion of the Board.</w:t>
      </w:r>
    </w:p>
    <w:p>
      <w:pPr>
        <w:spacing w:after="0" w:line="188"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Fringe Benefits</w:t>
      </w:r>
      <w:r>
        <w:rPr>
          <w:rFonts w:ascii="Times New Roman" w:cs="Times New Roman" w:eastAsia="Times New Roman" w:hAnsi="Times New Roman"/>
          <w:sz w:val="18"/>
          <w:szCs w:val="18"/>
          <w:color w:val="auto"/>
        </w:rPr>
        <w:t>. Employee shall be entitled to the benefits set forth below for so long as Employee’s employment with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2" w:name="page143"/>
    <w:bookmarkEnd w:id="142"/>
    <w:p>
      <w:pPr>
        <w:ind w:right="140" w:firstLine="1297"/>
        <w:spacing w:after="0" w:line="261" w:lineRule="auto"/>
        <w:rPr>
          <w:sz w:val="20"/>
          <w:szCs w:val="20"/>
          <w:color w:val="auto"/>
        </w:rPr>
      </w:pPr>
      <w:r>
        <w:rPr>
          <w:rFonts w:ascii="Times New Roman" w:cs="Times New Roman" w:eastAsia="Times New Roman" w:hAnsi="Times New Roman"/>
          <w:sz w:val="18"/>
          <w:szCs w:val="18"/>
          <w:color w:val="auto"/>
        </w:rPr>
        <w:t>5.1. The Company will reimburse Employee for all reasonable and necessary expenses incurred by Employee on behalf or for the benefit of the Company upon receipt of documentation therefor in accordance with the Company’s regular reimbursement procedures and practices in effect from time to time. The Company from time to time may require prior approval for individual expense items in excess of pre-established aggregate amounts for a fixed period or in excess of pre-established amounts for any type of expenditure during any fixed period.</w:t>
      </w:r>
    </w:p>
    <w:p>
      <w:pPr>
        <w:spacing w:after="0" w:line="180" w:lineRule="exact"/>
        <w:rPr>
          <w:sz w:val="20"/>
          <w:szCs w:val="20"/>
          <w:color w:val="auto"/>
        </w:rPr>
      </w:pPr>
    </w:p>
    <w:p>
      <w:pPr>
        <w:ind w:right="40" w:firstLine="1297"/>
        <w:spacing w:after="0" w:line="261" w:lineRule="auto"/>
        <w:rPr>
          <w:sz w:val="20"/>
          <w:szCs w:val="20"/>
          <w:color w:val="auto"/>
        </w:rPr>
      </w:pPr>
      <w:r>
        <w:rPr>
          <w:rFonts w:ascii="Times New Roman" w:cs="Times New Roman" w:eastAsia="Times New Roman" w:hAnsi="Times New Roman"/>
          <w:sz w:val="18"/>
          <w:szCs w:val="18"/>
          <w:color w:val="auto"/>
        </w:rPr>
        <w:t>5.2. Upon Employee’s achieving the eligibility requirements therefor, if any, Employee will be eligible to participate in all applicable and established Company benefit plans, programs and arrangements that may exist from time to time (including, without limitation, pension, profit sharing, 401(k) plans, and medical and life insurance programs) on the same terms as apply generally to other similarly situated employees of the Company from time to time.</w:t>
      </w:r>
    </w:p>
    <w:p>
      <w:pPr>
        <w:spacing w:after="0" w:line="180"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5.3. Employee shall be entitled to the vacation, sick and other personal time off (PTO), in accordance with the Company’s employee handbook or policy for the same. Employee shall be entitled to take four (4) weeks of paid vacation each calendar year, which vacation shall be prorated for any partial calendar year and shall accrue in equal installments throughout the calendar year. Any unused vacation at the end of each calendar year may be carried over to the extent provided under the Company’s PTO policies.</w:t>
      </w:r>
    </w:p>
    <w:p>
      <w:pPr>
        <w:spacing w:after="0" w:line="180"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 to Employee.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If Employee dies or suffers a Disability, the Employee’s employment with the Company shall terminate as of the date of death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Disability.</w:t>
      </w:r>
    </w:p>
    <w:p>
      <w:pPr>
        <w:spacing w:after="0" w:line="207" w:lineRule="exact"/>
        <w:rPr>
          <w:sz w:val="20"/>
          <w:szCs w:val="20"/>
          <w:color w:val="auto"/>
        </w:rPr>
      </w:pPr>
    </w:p>
    <w:p>
      <w:pPr>
        <w:ind w:right="320" w:firstLine="1297"/>
        <w:spacing w:after="0" w:line="282" w:lineRule="auto"/>
        <w:rPr>
          <w:sz w:val="20"/>
          <w:szCs w:val="20"/>
          <w:color w:val="auto"/>
        </w:rPr>
      </w:pPr>
      <w:r>
        <w:rPr>
          <w:rFonts w:ascii="Times New Roman" w:cs="Times New Roman" w:eastAsia="Times New Roman" w:hAnsi="Times New Roman"/>
          <w:sz w:val="18"/>
          <w:szCs w:val="18"/>
          <w:color w:val="auto"/>
        </w:rPr>
        <w:t>6.2. Subject to Section 6.4 and Section 6.5 below, either Employee or the Company may terminate this Agreement and Employee’s employment hereunder immediately upon written notice to the other party.</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6.3. If Employee’s employment terminates for any reason, Employee (or his estate in the event of Employee’s death) shall be entitled to receive a lump sum cash payment equal to the sum of the following: (i) payment of accrued but unpaid Base Compensation up to the date of termination, and any earned but unused paid vacation through the date of termination, if any and (ii) unreimbursed business expenses covered by Section 5.1 hereof.</w:t>
      </w:r>
    </w:p>
    <w:p>
      <w:pPr>
        <w:spacing w:after="0" w:line="176"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6.4. In addition to the amounts to be paid to Employee in accordance with the provisions of Section 6.3 above, and except as otherwise provided in Section 6.5, if Employee’s employment is terminated (i) by the Company without Cause or (ii) by Employee for Good Reason, Employee shall be entitled to receive the following (collectively, (A), (B) and (C)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for the duration of the Severance Period, Employee’s then current Base Compensation minus any applicable taxes, and other withholdings, payable in accordance with the Company’s standard payroll practices;</w:t>
      </w:r>
    </w:p>
    <w:p>
      <w:pPr>
        <w:spacing w:after="0" w:line="3" w:lineRule="exact"/>
        <w:rPr>
          <w:sz w:val="20"/>
          <w:szCs w:val="20"/>
          <w:color w:val="auto"/>
        </w:rPr>
      </w:pPr>
    </w:p>
    <w:p>
      <w:pPr>
        <w:ind w:right="80" w:firstLine="8"/>
        <w:spacing w:after="0" w:line="261" w:lineRule="auto"/>
        <w:tabs>
          <w:tab w:leader="none" w:pos="2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commencement of the Severance Period until the earlier of the expiration of the Severance Period or such date as Employee, may be eligible for health insurance coverage under another employer’s or a spouse’s employer’s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3" w:name="page144"/>
    <w:bookmarkEnd w:id="143"/>
    <w:p>
      <w:pPr>
        <w:ind w:right="740"/>
        <w:spacing w:after="0" w:line="282" w:lineRule="auto"/>
        <w:rPr>
          <w:sz w:val="20"/>
          <w:szCs w:val="20"/>
          <w:color w:val="auto"/>
        </w:rPr>
      </w:pPr>
      <w:r>
        <w:rPr>
          <w:rFonts w:ascii="Times New Roman" w:cs="Times New Roman" w:eastAsia="Times New Roman" w:hAnsi="Times New Roman"/>
          <w:sz w:val="18"/>
          <w:szCs w:val="18"/>
          <w:color w:val="auto"/>
        </w:rPr>
        <w:t>health plan, the Company will pay the Employee’s COBRA premium for any applicable health or dental insurance, if he is eligible to elect COBRA continuation coverage; and (C) any annual bonus, earned but unpaid for the previous calendar year, if applicable.</w:t>
      </w:r>
    </w:p>
    <w:p>
      <w:pPr>
        <w:spacing w:after="0" w:line="162" w:lineRule="exact"/>
        <w:rPr>
          <w:sz w:val="20"/>
          <w:szCs w:val="20"/>
          <w:color w:val="auto"/>
        </w:rPr>
      </w:pPr>
    </w:p>
    <w:p>
      <w:pPr>
        <w:ind w:right="120" w:firstLine="1297"/>
        <w:spacing w:after="0" w:line="254" w:lineRule="auto"/>
        <w:rPr>
          <w:sz w:val="20"/>
          <w:szCs w:val="20"/>
          <w:color w:val="auto"/>
        </w:rPr>
      </w:pPr>
      <w:r>
        <w:rPr>
          <w:rFonts w:ascii="Times New Roman" w:cs="Times New Roman" w:eastAsia="Times New Roman" w:hAnsi="Times New Roman"/>
          <w:sz w:val="18"/>
          <w:szCs w:val="18"/>
          <w:color w:val="auto"/>
        </w:rPr>
        <w:t xml:space="preserve">6.5. If Employee’s employment is terminated (i) by the Company without Cause or (ii) by Employee for Good Reason, in either case within three (3) prior to or within twelve (12) months after a Change of Control, Employee shall be entitled to receive the following (collectively, (A), (B), (C), (D) and (E)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of Control Severance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 lieu of the Severance Payment described in Section 6.4 and in addition to the amounts to be paid to Employee in accordance with the provisions of Section 6.3 above: (A) for the duration of the Severance Period, Employee’s then current Base Compensation minus any applicable taxes, and other withholdings, payable in accordance with the Company’s standard payroll practices; (B) from the commencement of the Severance Period until the earlier of the expiration of the Severance Period or such date as Employee, may be eligible for health insurance coverage under another employer’s or a spouse’s employer’s health plan, the Company will pay the Employee’s COBRA premium for any applicable health or dental insurance, if he is eligible to elect COBRA continuation coverage; (C) any annual bonus, earned but unpaid for the previous calendar year, if applicable; (D) one (1) times his then-current Target Bonus payable in a lump sum; and (E) all unvested restricted stock, stock options and other equity incentives awarded to the Employee by the Company will become immediately and automatically fully vested and exercisable (as applicable).</w:t>
      </w:r>
    </w:p>
    <w:p>
      <w:pPr>
        <w:spacing w:after="0" w:line="186"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18"/>
          <w:szCs w:val="18"/>
          <w:color w:val="auto"/>
        </w:rPr>
        <w:t>6.6. Employee shall not be entitled to receive the Severance Payment or Change of Control Severance Payment unless and until Employee executes within sixty (60) days following termination of his employment, and does not revoke as permitted by law, a release in a form reasonably acceptable to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that unconditionally releases, waives, and fully and forever discharges the Company and its past and current shareholders, directors, officers, employees, and agents from and against any and all claims, liabilities, obligations, covenants, rights, demands and damages of any nature whatsoever, whether known or unknown, anticipated or unanticipated, including without limitation, any claims relating to or arising out of Employee’s employment with the Company, claims arising under the Age Discrimination and Employment Act of 1967, as amended, Title VII of the Civil Rights Act of 1964, as amended, or the Civil Rights Act of 1991, or claims arising under the applicable state fair employment laws, but excluding Employee’s right to indemnification from the Company in respect of his services as a director, officer or employee of the Company or any of its Affiliates. The release shall also contain customary non-disparagement covenants by Employee. Employee’s right to receive the Severance Payment or Change of Control Severance Payment is conditioned upon Employee’s performance of the obligations and covenants contained in this Employment Agreement and the Exhibits to this Agreement. In the event of any material breach of any such obligations during or after payment of the Severance Payment or Change of Control Severance Payment, the Company may cease to make any remaining payments.</w:t>
      </w:r>
    </w:p>
    <w:p>
      <w:pPr>
        <w:spacing w:after="0" w:line="191" w:lineRule="exact"/>
        <w:rPr>
          <w:sz w:val="20"/>
          <w:szCs w:val="20"/>
          <w:color w:val="auto"/>
        </w:rPr>
      </w:pPr>
    </w:p>
    <w:p>
      <w:pPr>
        <w:ind w:right="560" w:firstLine="1297"/>
        <w:spacing w:after="0" w:line="282" w:lineRule="auto"/>
        <w:rPr>
          <w:sz w:val="20"/>
          <w:szCs w:val="20"/>
          <w:color w:val="auto"/>
        </w:rPr>
      </w:pPr>
      <w:r>
        <w:rPr>
          <w:rFonts w:ascii="Times New Roman" w:cs="Times New Roman" w:eastAsia="Times New Roman" w:hAnsi="Times New Roman"/>
          <w:sz w:val="18"/>
          <w:szCs w:val="18"/>
          <w:color w:val="auto"/>
        </w:rPr>
        <w:t>The Severance Payment or Change of Control Severance Payment will begin to be paid as soon as practicable following the date the Release becomes irrevocable, provided that (i) the initial payment shall include a catch-up payment to cover amounts retroactive to the day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4" w:name="page145"/>
    <w:bookmarkEnd w:id="144"/>
    <w:p>
      <w:pPr>
        <w:ind w:right="40"/>
        <w:spacing w:after="0" w:line="261" w:lineRule="auto"/>
        <w:rPr>
          <w:sz w:val="20"/>
          <w:szCs w:val="20"/>
          <w:color w:val="auto"/>
        </w:rPr>
      </w:pPr>
      <w:r>
        <w:rPr>
          <w:rFonts w:ascii="Times New Roman" w:cs="Times New Roman" w:eastAsia="Times New Roman" w:hAnsi="Times New Roman"/>
          <w:sz w:val="18"/>
          <w:szCs w:val="18"/>
          <w:color w:val="auto"/>
        </w:rPr>
        <w:t>immediately following the effective date of the Employee’s termination of employment and (ii) any bonus amounts owed under Section 6.4(C) or 6.5(C) shall be paid at the same time bonuses are paid to active employees. If the Severance Payment or Change of Control Severance Payment are deferred compensation subject to the requirements of Section 409A of the Code, if the 60-day period described in the previous paragraph begins in one taxable year and ends in a second taxable year, such payments shall not commence until the second taxable year.</w:t>
      </w:r>
    </w:p>
    <w:p>
      <w:pPr>
        <w:spacing w:after="0" w:line="180"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18"/>
          <w:szCs w:val="18"/>
          <w:color w:val="auto"/>
        </w:rPr>
        <w:t>6.7. Notwithstanding anything in this Agreement to the contrary, all payments to be made upon a termination of employment under this Agreement will only be made upon a “separation from service” within the meaning of Section 409A of the Internal Revenue Code of 1986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To the maximum extent permitted under Section 409A of the Code and its corresponding regulations, the cash severance benefits payable under this Agreement are intended to meet the requirements of the short-term deferral exemption under Section 409A of the Code and the “separation pay exception” under Treas. Reg. §1.409A-1(b)(9)(iii). For purposes of the application of Treas. Reg. § 1.409A-1(b)(4) (or any successor provision), each payment in a series of payments to Employee will be deemed a separate payment. In addition, to the extent compliance with the requirements of Treas. Reg. § 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the Employee’s “separation from service” will be deferred without interest and paid to Employee in a lump sum immediately following such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91" w:lineRule="exact"/>
        <w:rPr>
          <w:sz w:val="20"/>
          <w:szCs w:val="20"/>
          <w:color w:val="auto"/>
        </w:rPr>
      </w:pPr>
    </w:p>
    <w:p>
      <w:pPr>
        <w:ind w:right="300" w:firstLine="656"/>
        <w:spacing w:after="0" w:line="266" w:lineRule="auto"/>
        <w:tabs>
          <w:tab w:leader="none" w:pos="12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 Confidential Information, etc.</w:t>
      </w:r>
      <w:r>
        <w:rPr>
          <w:rFonts w:ascii="Times New Roman" w:cs="Times New Roman" w:eastAsia="Times New Roman" w:hAnsi="Times New Roman"/>
          <w:sz w:val="18"/>
          <w:szCs w:val="18"/>
          <w:color w:val="auto"/>
        </w:rPr>
        <w:t xml:space="preserve"> As a condition to Employee’s employment and in consideration of the compensation and benefits described herein, Employee agrees to execute the non-competition agreement attached hereto as Exhibit B and Employee Non-Disclosure and Business Ideas Agreement attached hereto as Exhibit C, effective as of the Effective Date.</w:t>
      </w:r>
    </w:p>
    <w:p>
      <w:pPr>
        <w:spacing w:after="0" w:line="176" w:lineRule="exact"/>
        <w:rPr>
          <w:rFonts w:ascii="Times New Roman" w:cs="Times New Roman" w:eastAsia="Times New Roman" w:hAnsi="Times New Roman"/>
          <w:sz w:val="18"/>
          <w:szCs w:val="18"/>
          <w:color w:val="auto"/>
        </w:rPr>
      </w:pPr>
    </w:p>
    <w:p>
      <w:pPr>
        <w:ind w:right="120" w:firstLine="656"/>
        <w:spacing w:after="0" w:line="256" w:lineRule="auto"/>
        <w:tabs>
          <w:tab w:leader="none" w:pos="129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the Company’s Articles of Incorporation and By-laws, the Company shall indemnify Employee to the fullest extent permitted by law against all costs, expenses, liabilities and losses (including, without limitation, attorneys’ fees, judgments, fines, penalties, and amounts paid in settlement) reasonably incurred by Employee in connection with any “Proceeding” (as defined herein). For the purposes of this Section 8,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mean any action, suit or proceeding, whether civil, criminal, administrative or investigative, and derivative or direct, in which Employee is made, or is threatened to be made, a party to, or a witness in, such action, suit or proceeding by reason of the fact that he is or was an officer, director or employee of the Company or is or was serving as an officer, director, member, employee, trustee or agent of any other entity at the request of the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5" w:name="page146"/>
    <w:bookmarkEnd w:id="145"/>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Tax Provisions.</w:t>
      </w:r>
    </w:p>
    <w:p>
      <w:pPr>
        <w:spacing w:after="0" w:line="225" w:lineRule="exact"/>
        <w:rPr>
          <w:sz w:val="20"/>
          <w:szCs w:val="20"/>
          <w:color w:val="auto"/>
        </w:rPr>
      </w:pPr>
    </w:p>
    <w:p>
      <w:pPr>
        <w:ind w:right="20" w:firstLine="1297"/>
        <w:spacing w:after="0" w:line="256" w:lineRule="auto"/>
        <w:rPr>
          <w:sz w:val="20"/>
          <w:szCs w:val="20"/>
          <w:color w:val="auto"/>
        </w:rPr>
      </w:pPr>
      <w:r>
        <w:rPr>
          <w:rFonts w:ascii="Times New Roman" w:cs="Times New Roman" w:eastAsia="Times New Roman" w:hAnsi="Times New Roman"/>
          <w:sz w:val="18"/>
          <w:szCs w:val="18"/>
          <w:color w:val="auto"/>
        </w:rPr>
        <w:t>9.1. In the event that the Company or any of their Affiliates undergoes a Change of Control prior to the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Affiliates, would constitute an “excess parachute payment” within the meaning of Section 280G of the Code, the following provisions shall apply:</w:t>
      </w:r>
    </w:p>
    <w:p>
      <w:pPr>
        <w:spacing w:after="0" w:line="188" w:lineRule="exact"/>
        <w:rPr>
          <w:sz w:val="20"/>
          <w:szCs w:val="20"/>
          <w:color w:val="auto"/>
        </w:rPr>
      </w:pPr>
    </w:p>
    <w:p>
      <w:pPr>
        <w:ind w:right="120" w:firstLine="1945"/>
        <w:spacing w:after="0" w:line="282" w:lineRule="auto"/>
        <w:rPr>
          <w:sz w:val="20"/>
          <w:szCs w:val="20"/>
          <w:color w:val="auto"/>
        </w:rPr>
      </w:pPr>
      <w:r>
        <w:rPr>
          <w:rFonts w:ascii="Times New Roman" w:cs="Times New Roman" w:eastAsia="Times New Roman" w:hAnsi="Times New Roman"/>
          <w:sz w:val="18"/>
          <w:szCs w:val="18"/>
          <w:color w:val="auto"/>
        </w:rPr>
        <w:t>9.1.1. The Company or any of applicable Affiliates will cooperate in good faith with Employee such that any such payments or benefits will not be deemed an “excess parachute payment” within the meaning of Section 280G of the Code.</w:t>
      </w:r>
    </w:p>
    <w:p>
      <w:pPr>
        <w:spacing w:after="0" w:line="162" w:lineRule="exact"/>
        <w:rPr>
          <w:sz w:val="20"/>
          <w:szCs w:val="20"/>
          <w:color w:val="auto"/>
        </w:rPr>
      </w:pPr>
    </w:p>
    <w:p>
      <w:pPr>
        <w:ind w:right="120" w:firstLine="1945"/>
        <w:spacing w:after="0" w:line="256" w:lineRule="auto"/>
        <w:rPr>
          <w:sz w:val="20"/>
          <w:szCs w:val="20"/>
          <w:color w:val="auto"/>
        </w:rPr>
      </w:pPr>
      <w:r>
        <w:rPr>
          <w:rFonts w:ascii="Times New Roman" w:cs="Times New Roman" w:eastAsia="Times New Roman" w:hAnsi="Times New Roman"/>
          <w:sz w:val="18"/>
          <w:szCs w:val="18"/>
          <w:color w:val="auto"/>
        </w:rPr>
        <w:t>9.1.2. In the event that any payments or benefits (whether payable pursuant to this Agreement or otherwise) to Employee could be exempt from Section 280G of the Code if the shareholder approval requirements under Section 280G(b)(5) of the Code and the regulations thereunder were met, such payments will be conditioned on shareholder approval in accordance with Section 280G(b)(5)(B) of the Code and regulations thereunder and the Company or any of its applicable Affiliates agrees to use best efforts to seek to obtain such shareholder approval. The actions of the Company or any of its applicable Affiliates pursuant to this provision are not intended to bind, nor shall be construed as binding, the shareholders of the Company or any of its applicable Affiliates.</w:t>
      </w:r>
    </w:p>
    <w:p>
      <w:pPr>
        <w:spacing w:after="0" w:line="188" w:lineRule="exact"/>
        <w:rPr>
          <w:sz w:val="20"/>
          <w:szCs w:val="20"/>
          <w:color w:val="auto"/>
        </w:rPr>
      </w:pPr>
    </w:p>
    <w:p>
      <w:pPr>
        <w:ind w:firstLine="1297"/>
        <w:spacing w:after="0" w:line="253" w:lineRule="auto"/>
        <w:rPr>
          <w:sz w:val="20"/>
          <w:szCs w:val="20"/>
          <w:color w:val="auto"/>
        </w:rPr>
      </w:pPr>
      <w:r>
        <w:rPr>
          <w:rFonts w:ascii="Times New Roman" w:cs="Times New Roman" w:eastAsia="Times New Roman" w:hAnsi="Times New Roman"/>
          <w:sz w:val="18"/>
          <w:szCs w:val="18"/>
          <w:color w:val="auto"/>
        </w:rPr>
        <w:t>9.2. In the event that the Company or any of its applicable Affiliates undergoes a Change of Control at such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applicable Affiliates, would constitute an “excess parachute payment” within the meaning of Section 280G of the Code, Employee shall be entitled to receive (i) an amount limited so that no portion thereof shall fail to be tax deductible under Section 280G of the Code or subject to an excise tax under Section 4999 of the Code (the “</w:t>
      </w:r>
      <w:r>
        <w:rPr>
          <w:rFonts w:ascii="Times New Roman" w:cs="Times New Roman" w:eastAsia="Times New Roman" w:hAnsi="Times New Roman"/>
          <w:sz w:val="18"/>
          <w:szCs w:val="18"/>
          <w:b w:val="1"/>
          <w:bCs w:val="1"/>
          <w:i w:val="1"/>
          <w:iCs w:val="1"/>
          <w:color w:val="auto"/>
        </w:rPr>
        <w:t>Limited Amount</w:t>
      </w:r>
      <w:r>
        <w:rPr>
          <w:rFonts w:ascii="Times New Roman" w:cs="Times New Roman" w:eastAsia="Times New Roman" w:hAnsi="Times New Roman"/>
          <w:sz w:val="18"/>
          <w:szCs w:val="18"/>
          <w:color w:val="auto"/>
        </w:rPr>
        <w:t>”), or (ii) if the amount otherwise payable hereunder together with other payments or benefits which Employee receives or is entitled to receive from the Company or any of its applicable Affiliates (without regard to clause (i)) reduced by all taxes applicable thereto (including, for the avoidance of doubt, the excise tax imposed by Section 4999 of the Code) would be greater than the Limited Amount reduced by all taxes applicable thereto, the amount otherwise payable hereunder together with other payments or benefits which Employee receives or is entitled to receive from the Company or any of its applicable Affiliates.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6" w:name="page147"/>
    <w:bookmarkEnd w:id="146"/>
    <w:p>
      <w:pPr>
        <w:ind w:right="100" w:firstLine="1297"/>
        <w:spacing w:after="0" w:line="256" w:lineRule="auto"/>
        <w:rPr>
          <w:sz w:val="20"/>
          <w:szCs w:val="20"/>
          <w:color w:val="auto"/>
        </w:rPr>
      </w:pPr>
      <w:r>
        <w:rPr>
          <w:rFonts w:ascii="Times New Roman" w:cs="Times New Roman" w:eastAsia="Times New Roman" w:hAnsi="Times New Roman"/>
          <w:sz w:val="18"/>
          <w:szCs w:val="18"/>
          <w:color w:val="auto"/>
        </w:rPr>
        <w:t>9.3. In the event that any payments under this Agreement or otherwise are required to be reduced as described in this Section 9, the adjustment will be made, first, by reducing the cash severance, if any, due to Employee pursuant to Section 6; second, if additional reductions are necessary, by reducing the payments due to Employee under Section 6.5(D) (Target Bonus) and third, if additional reductions are still necessary, by eliminating the accelerated vesting of equity-based awards, starting with those awards for which the amount required to be taken into account under the Section 280G of the Code rules is the greatest; provided, that in all events, such reductions shall be done in a manner consistent with the requirements of Section 409A of the Code, to the extent applicable.</w:t>
      </w:r>
    </w:p>
    <w:p>
      <w:pPr>
        <w:spacing w:after="0" w:line="188"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Binding Nature of Agreement</w:t>
      </w:r>
      <w:r>
        <w:rPr>
          <w:rFonts w:ascii="Times New Roman" w:cs="Times New Roman" w:eastAsia="Times New Roman" w:hAnsi="Times New Roman"/>
          <w:sz w:val="18"/>
          <w:szCs w:val="18"/>
          <w:color w:val="auto"/>
        </w:rPr>
        <w:t>. This Agreement shall be binding upon the Company and shall inure to the benefit of the Company, its Affiliates, successors and assigns, including any transferee of the business operation, as a going concern, in which Employee is employed and shall be binding upon Employee, Employee’s heirs and personal representatives. None of the rights or obligations of Employee hereunder may be assigned or delegated, except that in the event of Employee’s death or Disability, any rights of Employee hereunder shall be transferred to Employee’s estate or personal representative, as the case may be. The Company may assign its rights and obligations under this Agreement in whole or in part to any one or more Affiliates or successors. Any entity into which the Company is merged or with which the Company is consolidated or which acquires the business of the Company or the business unit in which Employee is to be principally employed shall be deemed to be a successor of the Company for purposes hereof.</w:t>
      </w:r>
    </w:p>
    <w:p>
      <w:pPr>
        <w:spacing w:after="0" w:line="189"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its Exhibits, contains the entire understanding among the parties hereto with respect to the subject matter hereof, and supersedes all prior and contemporaneous agreements and understandings, inducements or conditions, express or implied, oral or written. The express terms hereof control and supersede any course of performance and/or usage of the trade inconsistent with any of the terms hereof. Notwithstanding the foregoing, nothing herein shall limit the application of any generally applicable Company policy, practice, plan or the terms of any manual or handbook applicable to the Company’s employees generally.</w:t>
      </w:r>
    </w:p>
    <w:p>
      <w:pPr>
        <w:spacing w:after="0" w:line="184" w:lineRule="exact"/>
        <w:rPr>
          <w:sz w:val="20"/>
          <w:szCs w:val="20"/>
          <w:color w:val="auto"/>
        </w:rPr>
      </w:pPr>
    </w:p>
    <w:p>
      <w:pPr>
        <w:ind w:right="160" w:firstLine="1297"/>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required or permitted to be given under this Agreement shall be in writing and shall be deemed to have been duly given if delivered personally, or mailed first-class, postage prepaid, by registered or certified mail (notices sent by mail shall be deemed to have been given on the third day after the date sent), or by nationally recognized overnight carrier(notices sent by overnight shall be deemed to have been given on the day after the date sent) or by confirmed facsimile or electronic mail transmission with a hard copy deposited in first class mail the same day or the following day, as follows (or to such other address as either party shall designate by notice in writing to the other):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Ocugen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Great Valley Parkway, Suite #160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Shankar Musunuri</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Employee, to the address on file with the Company.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Governing Law; Forum</w:t>
      </w:r>
      <w:r>
        <w:rPr>
          <w:rFonts w:ascii="Times New Roman" w:cs="Times New Roman" w:eastAsia="Times New Roman" w:hAnsi="Times New Roman"/>
          <w:sz w:val="18"/>
          <w:szCs w:val="18"/>
          <w:color w:val="auto"/>
        </w:rPr>
        <w:t>. This Agreement shall be governed by the laws of Delaware.</w:t>
      </w:r>
    </w:p>
    <w:p>
      <w:pPr>
        <w:spacing w:after="0" w:line="225" w:lineRule="exact"/>
        <w:rPr>
          <w:sz w:val="20"/>
          <w:szCs w:val="20"/>
          <w:color w:val="auto"/>
        </w:rPr>
      </w:pPr>
    </w:p>
    <w:p>
      <w:pPr>
        <w:ind w:right="1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and section headings contained in this Agreement are for reference purposes only and shall not in any way affect the meaning or interpretation of this Agreement.</w:t>
      </w:r>
    </w:p>
    <w:p>
      <w:pPr>
        <w:spacing w:after="0" w:line="162" w:lineRule="exact"/>
        <w:rPr>
          <w:sz w:val="20"/>
          <w:szCs w:val="20"/>
          <w:color w:val="auto"/>
        </w:rPr>
      </w:pPr>
    </w:p>
    <w:p>
      <w:pPr>
        <w:ind w:right="6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modified, superseded, canceled, renewed, or extended and the terms or covenants of this Agreement may be waived, only by a written instrument executed by both of the parties, or in the case of a waiver, by the party waiving compliance.</w:t>
      </w:r>
    </w:p>
    <w:p>
      <w:pPr>
        <w:spacing w:after="0" w:line="162" w:lineRule="exact"/>
        <w:rPr>
          <w:sz w:val="20"/>
          <w:szCs w:val="20"/>
          <w:color w:val="auto"/>
        </w:rPr>
      </w:pPr>
    </w:p>
    <w:p>
      <w:pPr>
        <w:ind w:right="6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either party at any time or times to require performance of any provision of this Agreement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180"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constitute an original and all of which taken together shall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Agreement on the date first above written.</w:t>
      </w: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18"/>
          <w:szCs w:val="18"/>
          <w:color w:val="auto"/>
        </w:rPr>
        <w:t>By:</w:t>
        <w:tab/>
        <w:t>/s/ Shankar Musunuri</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18"/>
          <w:szCs w:val="18"/>
          <w:color w:val="auto"/>
        </w:rPr>
        <w:t>Its:</w:t>
        <w:tab/>
        <w:t>Chairman and CEO</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Sanjay Subramanian</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6188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222250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33" w:right="1440" w:bottom="1440" w:gutter="0" w:footer="0" w:header="0"/>
        </w:sectPr>
      </w:pPr>
    </w:p>
    <w:bookmarkStart w:id="149" w:name="page150"/>
    <w:bookmarkEnd w:id="149"/>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Duties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shall be the Company’s Chief Financial Officer reporting to the CEO responsible for:</w:t>
      </w:r>
    </w:p>
    <w:p>
      <w:pPr>
        <w:spacing w:after="0" w:line="225" w:lineRule="exact"/>
        <w:rPr>
          <w:sz w:val="20"/>
          <w:szCs w:val="20"/>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company’s day-day financial operations and additional activities assigned by the CEO</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and execution of annual goals in line with company goals</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CEO for the meetings with potential investors for all fund-raising activities</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supporting the management of the Company’s annual budget</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and maintaining strong collaborations with financial partners (including investors, banks, auditors, etc.)</w:t>
      </w:r>
    </w:p>
    <w:p>
      <w:pPr>
        <w:spacing w:after="0" w:line="20"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activities related to selection of ERP</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at investor conferences and supporting analyst calls as needed</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Executive Management Team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NON-COMPETITION AGREEMENT</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THIS EMPLOYMENT NON-COMPETITION AGREEMENT by and between the undersigned employee (the “Employee”) and Ocugen, Inc., a Delaware corporation (“Company”) is effective as of the commencement of the Employee’s employment pursuant to the Executive Employment Agreement dated as of September 10, 2019.</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660" w:right="60" w:hanging="652"/>
        <w:spacing w:after="0" w:line="266" w:lineRule="auto"/>
        <w:tabs>
          <w:tab w:leader="none" w:pos="6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position in the Company is such that Employee will, at times, either personally generate, or be entrusted with, information, ideas and materials which are the Company’s property, involve trade secrets, involve customer information and customer lists, or relate to confidential matters of the Company;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expend and continue to expend substantial time, effort and money to develop its technology and products, to service its customers and future customers and to provide the Employee the opportunity and the resources to extend the goodwill of the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Employee’s commencement of employment, and as a condition thereto, and other good and valuable consideration, the receipt and sufficiency of which are hereby acknowledged, Employee and the Company hereby agree as follows:</w:t>
      </w:r>
    </w:p>
    <w:p>
      <w:pPr>
        <w:spacing w:after="0" w:line="162" w:lineRule="exact"/>
        <w:rPr>
          <w:sz w:val="20"/>
          <w:szCs w:val="20"/>
          <w:color w:val="auto"/>
        </w:rPr>
      </w:pPr>
    </w:p>
    <w:p>
      <w:pPr>
        <w:ind w:left="1380" w:hanging="724"/>
        <w:spacing w:after="0"/>
        <w:tabs>
          <w:tab w:leader="none" w:pos="1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p>
    <w:p>
      <w:pPr>
        <w:spacing w:after="0" w:line="225" w:lineRule="exact"/>
        <w:rPr>
          <w:sz w:val="20"/>
          <w:szCs w:val="20"/>
          <w:color w:val="auto"/>
        </w:rPr>
      </w:pPr>
    </w:p>
    <w:p>
      <w:pPr>
        <w:ind w:left="660"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Following Employment</w:t>
      </w:r>
      <w:r>
        <w:rPr>
          <w:rFonts w:ascii="Times New Roman" w:cs="Times New Roman" w:eastAsia="Times New Roman" w:hAnsi="Times New Roman"/>
          <w:sz w:val="18"/>
          <w:szCs w:val="18"/>
          <w:color w:val="auto"/>
        </w:rPr>
        <w:t>. Without the Company’s prior written consent, while the Employee is employed and for twelve (12) months following the end, for whatever reason, of the Employee’s employment with the Company (the “Non-Competition Period”), the Employee agrees that in the Restricted Area, Employee will not perform substantially the same or similar functions or duties which Employee provided to the Company in the Restricted Field for any person (including Employee), entity, division, business unit, or association (“Person”) that is engaged or is contemplating engaging in the Restricted Field; or (b) advise or consult with any Person primarily engaged or is contemplating engaging in the Restricted Field regarding the same or similar functions or duties for which Employee was responsible for at the Company.</w:t>
      </w:r>
    </w:p>
    <w:p>
      <w:pPr>
        <w:spacing w:after="0" w:line="188" w:lineRule="exact"/>
        <w:rPr>
          <w:sz w:val="20"/>
          <w:szCs w:val="20"/>
          <w:color w:val="auto"/>
        </w:rPr>
      </w:pPr>
    </w:p>
    <w:p>
      <w:pPr>
        <w:ind w:left="660"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Restricted Field</w:t>
      </w:r>
      <w:r>
        <w:rPr>
          <w:rFonts w:ascii="Times New Roman" w:cs="Times New Roman" w:eastAsia="Times New Roman" w:hAnsi="Times New Roman"/>
          <w:sz w:val="18"/>
          <w:szCs w:val="18"/>
          <w:color w:val="auto"/>
        </w:rPr>
        <w:t>. For purposes hereof, “Restricted Field” means the business of (i) developing, designing, manufacturing, marketing and selling biopharmaceutical products that are intended for treatment of age related macular degeneration, geographic atrophy, diabetic retinopathy, or retinitis pigmentosa or (ii) the sale or development of any other products sold or developed by the Company in the twelve months prior to the end of Employee’s employment.</w:t>
      </w:r>
    </w:p>
    <w:p>
      <w:pPr>
        <w:spacing w:after="0" w:line="180"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For purposes hereof, “Restricted Area” means the United States. Employee understands that the market for the Company’s products is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51" w:name="page152"/>
    <w:bookmarkEnd w:id="151"/>
    <w:p>
      <w:pPr>
        <w:ind w:left="4"/>
        <w:spacing w:after="0"/>
        <w:rPr>
          <w:sz w:val="20"/>
          <w:szCs w:val="20"/>
          <w:color w:val="auto"/>
        </w:rPr>
      </w:pPr>
      <w:r>
        <w:rPr>
          <w:rFonts w:ascii="Times New Roman" w:cs="Times New Roman" w:eastAsia="Times New Roman" w:hAnsi="Times New Roman"/>
          <w:sz w:val="18"/>
          <w:szCs w:val="18"/>
          <w:color w:val="auto"/>
        </w:rPr>
        <w:t>and that the Company is marketing, promotion, and attempting to sell, and selling its products worldwide.</w:t>
      </w:r>
    </w:p>
    <w:p>
      <w:pPr>
        <w:spacing w:after="0" w:line="225" w:lineRule="exact"/>
        <w:rPr>
          <w:sz w:val="20"/>
          <w:szCs w:val="20"/>
          <w:color w:val="auto"/>
        </w:rPr>
      </w:pPr>
    </w:p>
    <w:p>
      <w:pPr>
        <w:ind w:left="4" w:hanging="4"/>
        <w:spacing w:after="0" w:line="266" w:lineRule="auto"/>
        <w:tabs>
          <w:tab w:leader="none" w:pos="7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Employee further agrees that while Employee is employed and for a period twelve (12) months thereafter, Employee shall not take any directed action to cause any customer, supplier, or vendor of the Company to terminate or materially diminish its relationship with the Company.</w:t>
      </w:r>
    </w:p>
    <w:p>
      <w:pPr>
        <w:spacing w:after="0" w:line="176" w:lineRule="exact"/>
        <w:rPr>
          <w:rFonts w:ascii="Times New Roman" w:cs="Times New Roman" w:eastAsia="Times New Roman" w:hAnsi="Times New Roman"/>
          <w:sz w:val="18"/>
          <w:szCs w:val="18"/>
          <w:color w:val="auto"/>
        </w:rPr>
      </w:pPr>
    </w:p>
    <w:p>
      <w:pPr>
        <w:ind w:left="724" w:hanging="724"/>
        <w:spacing w:after="0"/>
        <w:tabs>
          <w:tab w:leader="none" w:pos="7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Disclosures and Acknowledgments.</w:t>
      </w:r>
    </w:p>
    <w:p>
      <w:pPr>
        <w:spacing w:after="0" w:line="225" w:lineRule="exact"/>
        <w:rPr>
          <w:sz w:val="20"/>
          <w:szCs w:val="20"/>
          <w:color w:val="auto"/>
        </w:rPr>
      </w:pPr>
    </w:p>
    <w:p>
      <w:pPr>
        <w:ind w:left="4"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Scope of Restrictions</w:t>
      </w:r>
      <w:r>
        <w:rPr>
          <w:rFonts w:ascii="Times New Roman" w:cs="Times New Roman" w:eastAsia="Times New Roman" w:hAnsi="Times New Roman"/>
          <w:sz w:val="18"/>
          <w:szCs w:val="18"/>
          <w:color w:val="auto"/>
        </w:rPr>
        <w:t>. Employee acknowledges and represents that the scope of the restrictions contained in this Employment Non-Competition Agreement are appropriate, necessary and reasonable for the protection of the Company’s legitimate business interests and customer goodwill. Employee acknowledges that the restrictions imposed herein will not prevent Employee from earning a living at the end of Employee’s employment with the Company.</w:t>
      </w:r>
    </w:p>
    <w:p>
      <w:pPr>
        <w:spacing w:after="0" w:line="180" w:lineRule="exact"/>
        <w:rPr>
          <w:sz w:val="20"/>
          <w:szCs w:val="20"/>
          <w:color w:val="auto"/>
        </w:rPr>
      </w:pPr>
    </w:p>
    <w:p>
      <w:pPr>
        <w:ind w:left="4"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Prospective Employers</w:t>
      </w:r>
      <w:r>
        <w:rPr>
          <w:rFonts w:ascii="Times New Roman" w:cs="Times New Roman" w:eastAsia="Times New Roman" w:hAnsi="Times New Roman"/>
          <w:sz w:val="18"/>
          <w:szCs w:val="18"/>
          <w:color w:val="auto"/>
        </w:rPr>
        <w:t>. Employee agrees, during the term of any restriction contained in this Employment Non-Competition Agreement, to disclose this Employment Non-Competition Agreement to any entity which offers employment to Employee. Employee further agrees that the Company may send a copy of this Employment Non-Competition Agreement to, or otherwise make the provisions hereof known to, any of Employee’s potential or future employers.</w:t>
      </w:r>
    </w:p>
    <w:p>
      <w:pPr>
        <w:spacing w:after="0" w:line="180" w:lineRule="exact"/>
        <w:rPr>
          <w:sz w:val="20"/>
          <w:szCs w:val="20"/>
          <w:color w:val="auto"/>
        </w:rPr>
      </w:pPr>
    </w:p>
    <w:p>
      <w:pPr>
        <w:ind w:left="724" w:hanging="724"/>
        <w:spacing w:after="0"/>
        <w:tabs>
          <w:tab w:leader="none" w:pos="7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4"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Employment Non-Competition Agreement binds Employee’s heirs, executors, administrators, legal representatives and assigns and inures to the benefit of the Company and its successors and assigns. The Company may assign this Employment Non-Competition Agreement.</w:t>
      </w:r>
    </w:p>
    <w:p>
      <w:pPr>
        <w:spacing w:after="0" w:line="176"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Amendment or Waiver</w:t>
      </w:r>
      <w:r>
        <w:rPr>
          <w:rFonts w:ascii="Times New Roman" w:cs="Times New Roman" w:eastAsia="Times New Roman" w:hAnsi="Times New Roman"/>
          <w:sz w:val="18"/>
          <w:szCs w:val="18"/>
          <w:color w:val="auto"/>
        </w:rPr>
        <w:t>. No provision of this Employment Non-Competition Agreement may be amended or waived other than in writing by the party against whom enforcement of such amendment or waiver is sought.</w:t>
      </w:r>
    </w:p>
    <w:p>
      <w:pPr>
        <w:spacing w:after="0" w:line="162" w:lineRule="exact"/>
        <w:rPr>
          <w:sz w:val="20"/>
          <w:szCs w:val="20"/>
          <w:color w:val="auto"/>
        </w:rPr>
      </w:pPr>
    </w:p>
    <w:p>
      <w:pPr>
        <w:ind w:left="4"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parties agree that damages will be an inadequate remedy for breaches of this Agreement and in addition to damages and any other available relief, a court shall be empowered to grant injunctive relief without the Company’s posting of any bond or other security. The Company shall be entitled to recover from Employee all litigation costs and attorneys’ fees incurred by the Company in any action or proceeding relating to this Agreement in which the Company prevails. The Employee shall be entitled to recover from Company all litigation costs and attorneys’ fees incurred by the Employee in any action or proceeding relating to this Agreement in which the Employee prevails.</w:t>
      </w:r>
    </w:p>
    <w:p>
      <w:pPr>
        <w:spacing w:after="0" w:line="184" w:lineRule="exact"/>
        <w:rPr>
          <w:sz w:val="20"/>
          <w:szCs w:val="20"/>
          <w:color w:val="auto"/>
        </w:rPr>
      </w:pPr>
    </w:p>
    <w:p>
      <w:pPr>
        <w:ind w:left="4"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Employee agrees that if, at any time, despite the express agreement of the parties hereto, a court of competent jurisdiction holds that any portion of this Employment Non-Competition Agreement is unenforceable for any reason,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180975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37" w:right="319" w:bottom="1440" w:gutter="0" w:footer="0" w:header="0"/>
        </w:sectPr>
      </w:pPr>
    </w:p>
    <w:bookmarkStart w:id="152" w:name="page153"/>
    <w:bookmarkEnd w:id="152"/>
    <w:p>
      <w:pPr>
        <w:ind w:right="320"/>
        <w:spacing w:after="0" w:line="282" w:lineRule="auto"/>
        <w:rPr>
          <w:sz w:val="20"/>
          <w:szCs w:val="20"/>
          <w:color w:val="auto"/>
        </w:rPr>
      </w:pPr>
      <w:r>
        <w:rPr>
          <w:rFonts w:ascii="Times New Roman" w:cs="Times New Roman" w:eastAsia="Times New Roman" w:hAnsi="Times New Roman"/>
          <w:sz w:val="18"/>
          <w:szCs w:val="18"/>
          <w:color w:val="auto"/>
        </w:rPr>
        <w:t>maximum restrictions that are reasonable under the circumstances, as determined by such court, will be substituted for any such restrictions held unenforceable.</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xml:space="preserve"> The language used in this Employment NonCompetition Agreement shall be deemed to be the language chosen by the parties hereto to express their mutual intent, and no rule of strict construction shall be applied against any person or entity.</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Employment Non-Competition Agreement shall be governed by and construed in accordance with the substantive and procedural laws of Delaware.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parties’ entire understanding with respect to the subject matter contained herein and supersedes any previous agreements, oral or otherwise, between the parties.</w:t>
      </w:r>
    </w:p>
    <w:p>
      <w:pPr>
        <w:spacing w:after="0" w:line="16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i w:val="1"/>
          <w:iCs w:val="1"/>
          <w:color w:val="auto"/>
        </w:rPr>
        <w:t>[remainder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222250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37" w:right="2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This Employment Non-Competition Agreement is dated as of the date first written above.</w:t>
      </w:r>
    </w:p>
    <w:p>
      <w:pPr>
        <w:spacing w:after="0" w:line="2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Sanjay Subramanian</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6188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18"/>
          <w:szCs w:val="18"/>
          <w:b w:val="1"/>
          <w:bCs w:val="1"/>
          <w:color w:val="auto"/>
        </w:rPr>
        <w:t>Ocugen, Inc. (“Company”)</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18"/>
          <w:szCs w:val="18"/>
          <w:color w:val="auto"/>
        </w:rPr>
        <w:t>By:</w:t>
        <w:tab/>
        <w:t>/s/ Shankar Musunuri</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Chairman and CEO</w:t>
      </w:r>
    </w:p>
    <w:p>
      <w:pPr>
        <w:spacing w:after="0" w:line="2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[Signature Page to Non-Competition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222250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38" w:right="1440" w:bottom="1440" w:gutter="0" w:footer="0" w:header="0"/>
        </w:sectPr>
      </w:pPr>
    </w:p>
    <w:bookmarkStart w:id="154" w:name="page155"/>
    <w:bookmarkEnd w:id="1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EMPLOYEE NONDISCLOSURE AND BUSINESS IDEAS AGREEMENT</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EMPLOYEE NONDISCLOSURE AND BUSINESS IDEAS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the undersigned employee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Ocugen,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effective as of the commencement date of Employee’s employment with or provision of services to the Company,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firstLine="8"/>
        <w:spacing w:after="0" w:line="261" w:lineRule="auto"/>
        <w:tabs>
          <w:tab w:leader="none" w:pos="7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time that Employee is engaged by the Company in any capacity, whether as an advisor, consultant or employee, and whether Employee is engaged by the Company in only one or in more than one such capacity(ies) (the “</w:t>
      </w:r>
      <w:r>
        <w:rPr>
          <w:rFonts w:ascii="Times New Roman" w:cs="Times New Roman" w:eastAsia="Times New Roman" w:hAnsi="Times New Roman"/>
          <w:sz w:val="18"/>
          <w:szCs w:val="18"/>
          <w:u w:val="single" w:color="auto"/>
          <w:color w:val="auto"/>
        </w:rPr>
        <w:t>Period of Engagement</w:t>
      </w:r>
      <w:r>
        <w:rPr>
          <w:rFonts w:ascii="Times New Roman" w:cs="Times New Roman" w:eastAsia="Times New Roman" w:hAnsi="Times New Roman"/>
          <w:sz w:val="18"/>
          <w:szCs w:val="18"/>
          <w:color w:val="auto"/>
        </w:rPr>
        <w:t>”), Employee will personally generate, or be entrusted with, information, ideas and materials which are the Company’s confidential and proprietary property, including, without limitation, trade secrets, confidential customer information and information related to other confidential and proprietary matters of the Company.</w:t>
      </w:r>
    </w:p>
    <w:p>
      <w:pPr>
        <w:spacing w:after="0" w:line="180"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7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expended, and will continue to expend, substantial time, effort and money to protect such confidential and proprietary Company property and supplier and customer relationships, to service its suppliers and customers and to provide Employee the opportunity and the resources to extend the goodwill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consideration of and as a condition to the commencement of Employee’s employment with or provision of services to the Company, and other good and valuable consideration, the receipt and sufficiency of which are hereby acknowledged, Employee and the Company hereby agree as follows:</w:t>
      </w:r>
    </w:p>
    <w:p>
      <w:pPr>
        <w:spacing w:after="0" w:line="158" w:lineRule="exact"/>
        <w:rPr>
          <w:sz w:val="20"/>
          <w:szCs w:val="20"/>
          <w:color w:val="auto"/>
        </w:rPr>
      </w:pPr>
    </w:p>
    <w:p>
      <w:pPr>
        <w:ind w:left="720" w:hanging="712"/>
        <w:spacing w:after="0"/>
        <w:tabs>
          <w:tab w:leader="none" w:pos="7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Obligations.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During Engagement</w:t>
      </w:r>
      <w:r>
        <w:rPr>
          <w:rFonts w:ascii="Times New Roman" w:cs="Times New Roman" w:eastAsia="Times New Roman" w:hAnsi="Times New Roman"/>
          <w:sz w:val="18"/>
          <w:szCs w:val="18"/>
          <w:color w:val="auto"/>
        </w:rPr>
        <w:t>. During the Period of Engagement, Employee will not directly or indirectly use or disclose any Confidential Information (as defined in Section 1.6, below) or Trade Secret (as defined in Section 1.7, below) of the Company, except as authorized by and in the interest and for the benefit of the Company.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Trade Secrets Post-Engagement</w:t>
      </w:r>
      <w:r>
        <w:rPr>
          <w:rFonts w:ascii="Times New Roman" w:cs="Times New Roman" w:eastAsia="Times New Roman" w:hAnsi="Times New Roman"/>
          <w:sz w:val="18"/>
          <w:szCs w:val="18"/>
          <w:color w:val="auto"/>
        </w:rPr>
        <w:t>. After the end, for whatever reason, of the Period of Engagement, Employee will not directly or indirectly use or disclose any Trade Secret of the Company.</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Confidential Information Post-Engagement</w:t>
      </w:r>
      <w:r>
        <w:rPr>
          <w:rFonts w:ascii="Times New Roman" w:cs="Times New Roman" w:eastAsia="Times New Roman" w:hAnsi="Times New Roman"/>
          <w:sz w:val="18"/>
          <w:szCs w:val="18"/>
          <w:color w:val="auto"/>
        </w:rPr>
        <w:t>. After the end, for whatever reason, of the Period of Engagement, Employee will not directly or indirectly use or disclose any Confidential Information of the Company.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General Skills and Knowledge</w:t>
      </w:r>
      <w:r>
        <w:rPr>
          <w:rFonts w:ascii="Times New Roman" w:cs="Times New Roman" w:eastAsia="Times New Roman" w:hAnsi="Times New Roman"/>
          <w:sz w:val="18"/>
          <w:szCs w:val="18"/>
          <w:color w:val="auto"/>
        </w:rPr>
        <w:t>. Nothing in this Agreement shall prevent Employee, after the end of the Period of Engagement, from using general skills and knowledge gained while employed by or providing services to the Company.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Trade Secret Law</w:t>
      </w:r>
      <w:r>
        <w:rPr>
          <w:rFonts w:ascii="Times New Roman" w:cs="Times New Roman" w:eastAsia="Times New Roman" w:hAnsi="Times New Roman"/>
          <w:sz w:val="18"/>
          <w:szCs w:val="18"/>
          <w:color w:val="auto"/>
        </w:rPr>
        <w:t>. Nothing in this Agreement shall limit or supersede any common law, statutory or other protections of trade secrets where such protections provide the Company with greater rights or protections than provided for in this Agreement.</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confidential and proprietary information of, about or related to the Company, or provided to the Company by its customers, suppliers or affiliates, that is not known generally to the public or the Company’s competitors. Confidential Information may include, but is not limited to: (i) all know-how and other technical information relating to the products and services of the Company, specifications, designs, processes, methods, know-how, plans, policies, procedures, employees, legal and regulatory affairs, assets, discoveries, inventions, trademarks, patents, patents pending, patent applications, copyrights, copyright applications, scientific or technical data, research or development, distribution, sales, marketing, expenses, business plans, financial statements and data, customer and supplier lists, costs of goods, source code and relationships with third parties; (ii) information which is marked or otherwise designated or treated as confidential or proprietary by the Company; and (iii) information received by the Company from others which the Company has an obligation to treat as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55" w:name="page156"/>
    <w:bookmarkEnd w:id="155"/>
    <w:p>
      <w:pPr>
        <w:spacing w:after="0"/>
        <w:tabs>
          <w:tab w:leader="none" w:pos="6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u w:val="single" w:color="auto"/>
          <w:color w:val="auto"/>
        </w:rPr>
        <w:t>Trade Secret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Trade Secret</w:t>
      </w:r>
      <w:r>
        <w:rPr>
          <w:rFonts w:ascii="Times New Roman" w:cs="Times New Roman" w:eastAsia="Times New Roman" w:hAnsi="Times New Roman"/>
          <w:sz w:val="18"/>
          <w:szCs w:val="18"/>
          <w:color w:val="auto"/>
        </w:rPr>
        <w:t>” has that meaning set forth under applicable law.</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Sections 1.6 or 1.7, above, as applicable, the terms “Confidential Information” and “Trade Secret” do not include, and the obligations set forth in this Agreement do not apply to, any information which: (i) can be demonstrated by written evidence by Employee to have been known by Employee prior to the Period of Engagement; or (ii) is or becomes generally available to the public through no act or omission of Employee.</w:t>
      </w:r>
    </w:p>
    <w:p>
      <w:pPr>
        <w:spacing w:after="0" w:line="172" w:lineRule="exact"/>
        <w:rPr>
          <w:sz w:val="20"/>
          <w:szCs w:val="20"/>
          <w:color w:val="auto"/>
        </w:rPr>
      </w:pPr>
    </w:p>
    <w:p>
      <w:pPr>
        <w:jc w:val="both"/>
        <w:ind w:firstLine="8"/>
        <w:spacing w:after="0" w:line="262" w:lineRule="auto"/>
        <w:tabs>
          <w:tab w:leader="none" w:pos="7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Non-Solicitation. </w:t>
      </w:r>
      <w:r>
        <w:rPr>
          <w:rFonts w:ascii="Times New Roman" w:cs="Times New Roman" w:eastAsia="Times New Roman" w:hAnsi="Times New Roman"/>
          <w:sz w:val="18"/>
          <w:szCs w:val="18"/>
          <w:color w:val="auto"/>
        </w:rPr>
        <w:t>During the Period of Engagement and for a period of twelve (12) consecutive months immediately thereafter, Employee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encourage any other provider of services to the Company to terminate his/her employment with or provision of services to the Company or solicit such an individual for employment or services in a manner which would end or diminish that other Employee’s services to the Company. Nothing herein shall be interpreted to limit the ability of Employee to act as a reference for another provider of services to the Company.</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during the Period of Engagement and for a period of twelve (12) consecutive months immediately thereafter Employee will not, directly or indirectly, solicit or otherwise attempt to sell to any Restricted Customer (as defined below) any goods or services that are substantially similar to those sold by the Company in the 12 months prior to the termination of the Employee’s employment. Restricted Customer means any individual or entity (i) to whom or to which (A) the Company sold its respective products or services in the twelve months prior to the termination of Employee’s employment, or (B) the Company has sent a product quotation to such potential customer for the Company’s products or services in the six months prior to the termination of Employee’s employment and the Company has continued to solicit such potential customer to close the sale related to or in connection with such product quotation; or</w:t>
      </w:r>
    </w:p>
    <w:p>
      <w:pPr>
        <w:ind w:right="860" w:firstLine="8"/>
        <w:spacing w:after="0" w:line="261" w:lineRule="auto"/>
        <w:tabs>
          <w:tab w:leader="none" w:pos="26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whom/which Employee had direct contact on behalf of the Company related to a sale or potential sale during the 12 months preceding the termination of Employee’s employment.</w:t>
      </w:r>
    </w:p>
    <w:p>
      <w:pPr>
        <w:spacing w:after="0" w:line="176" w:lineRule="exact"/>
        <w:rPr>
          <w:sz w:val="20"/>
          <w:szCs w:val="20"/>
          <w:color w:val="auto"/>
        </w:rPr>
      </w:pPr>
    </w:p>
    <w:p>
      <w:pPr>
        <w:ind w:left="720" w:hanging="712"/>
        <w:spacing w:after="0"/>
        <w:tabs>
          <w:tab w:leader="none" w:pos="7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Idea Rights.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Company will own, and Employee hereby assigns and agrees to assign to the Company, all rights in all Business Ideas (as defined in Section 3.4, below) which Employee originates or develops either alone or working with others during the Period of Engagement. All Business Ideas which are or form the basis for copyrightable works are hereby assigned to the Company and/or shall be assigned to the Company or shall be considered “works for hire” as that term is defined by United States copyright law.</w:t>
      </w:r>
    </w:p>
    <w:p>
      <w:pPr>
        <w:spacing w:after="0" w:line="18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During the Period of Engagement, Employee will promptly disclose all Business Ideas to the Company.</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Execution of Documentation</w:t>
      </w:r>
      <w:r>
        <w:rPr>
          <w:rFonts w:ascii="Times New Roman" w:cs="Times New Roman" w:eastAsia="Times New Roman" w:hAnsi="Times New Roman"/>
          <w:sz w:val="18"/>
          <w:szCs w:val="18"/>
          <w:color w:val="auto"/>
        </w:rPr>
        <w:t>. Employee, at any time during or after the Period of Engagement, will promptly execute all documents which the Company may reasonably require to perfect its patent, copyright and other rights to such Business Ideas throughout the world.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Business Ideas</w:t>
      </w:r>
      <w:r>
        <w:rPr>
          <w:rFonts w:ascii="Times New Roman" w:cs="Times New Roman" w:eastAsia="Times New Roman" w:hAnsi="Times New Roman"/>
          <w:sz w:val="18"/>
          <w:szCs w:val="18"/>
          <w:color w:val="auto"/>
        </w:rPr>
        <w:t>. The term “Business Ideas” means all ideas, designs, modifications, formulations, specifications, concepts, know-how, trade secrets, discoveries, inventions, data, software, developments and copyrightable works, whether or not patentable or registrable, that are (i) related to any business engaged in or contemplated by the Company; (ii) originated or developed during Employee’s working hours for the Company, or (iii) originated or developed in whole or in part using materials, labor, facilities, or equipment furnished by the Company.</w:t>
      </w:r>
    </w:p>
    <w:p>
      <w:pPr>
        <w:spacing w:after="0" w:line="176" w:lineRule="exact"/>
        <w:rPr>
          <w:sz w:val="20"/>
          <w:szCs w:val="20"/>
          <w:color w:val="auto"/>
        </w:rPr>
      </w:pPr>
    </w:p>
    <w:p>
      <w:pPr>
        <w:ind w:right="100" w:firstLine="8"/>
        <w:spacing w:after="0" w:line="259" w:lineRule="auto"/>
        <w:tabs>
          <w:tab w:leader="none" w:pos="7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Property. </w:t>
      </w:r>
      <w:r>
        <w:rPr>
          <w:rFonts w:ascii="Times New Roman" w:cs="Times New Roman" w:eastAsia="Times New Roman" w:hAnsi="Times New Roman"/>
          <w:sz w:val="18"/>
          <w:szCs w:val="18"/>
          <w:color w:val="auto"/>
        </w:rPr>
        <w:t>Upon the end, for whatever reason, of the Period of Engagement or upon request by the Company at any time,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immediately return to the Company all property, documents, records, and materials belonging and/or relating to the Company and all copies of all such materials. Upon the end, for whatever reason, of the Period of Engagement or upon request by the Company at any time, Employee further agrees to destroy such records maintained by Employee on Employee’s own computer equipment and to certify in writing, at the Company’s request, that such destruction has occurred.</w:t>
      </w:r>
    </w:p>
    <w:p>
      <w:pPr>
        <w:spacing w:after="0" w:line="179"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Disclosures and Acknowledgments.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Confidential Information of Others</w:t>
      </w:r>
      <w:r>
        <w:rPr>
          <w:rFonts w:ascii="Times New Roman" w:cs="Times New Roman" w:eastAsia="Times New Roman" w:hAnsi="Times New Roman"/>
          <w:sz w:val="18"/>
          <w:szCs w:val="18"/>
          <w:color w:val="auto"/>
        </w:rPr>
        <w:t>. Employee certifies that Employee has not, and will not, disclose or use during the Period of Engagement any confidential information which Employee acquired as a result of any previous employment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6" w:name="page157"/>
    <w:bookmarkEnd w:id="156"/>
    <w:p>
      <w:pPr>
        <w:ind w:right="20"/>
        <w:spacing w:after="0" w:line="266" w:lineRule="auto"/>
        <w:rPr>
          <w:sz w:val="20"/>
          <w:szCs w:val="20"/>
          <w:color w:val="auto"/>
        </w:rPr>
      </w:pPr>
      <w:r>
        <w:rPr>
          <w:rFonts w:ascii="Times New Roman" w:cs="Times New Roman" w:eastAsia="Times New Roman" w:hAnsi="Times New Roman"/>
          <w:sz w:val="18"/>
          <w:szCs w:val="18"/>
          <w:color w:val="auto"/>
        </w:rPr>
        <w:t>provision of services, or under a contractual obligation of confidentiality or secrecy, before Employee became an employee of or provider of services to the Company. Employee has no prior obligations (written and oral), such as confidentiality agreements or covenants restricting future employment or consulting, that Employee has entered into which restrict Employee’s ability to perform any services as an employee of or provider of services to the Company.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Scope of Restrictions</w:t>
      </w:r>
      <w:r>
        <w:rPr>
          <w:rFonts w:ascii="Times New Roman" w:cs="Times New Roman" w:eastAsia="Times New Roman" w:hAnsi="Times New Roman"/>
          <w:sz w:val="18"/>
          <w:szCs w:val="18"/>
          <w:color w:val="auto"/>
        </w:rPr>
        <w:t>. By entering into this Agreement, Employee acknowledges and agrees that the scope of the restrictions contained in this Agreement are appropriate, necessary and reasonable for the protection of the Company’s business, goodwill and property rights, including the protection of the Company’s Confidential Information and Trade Secrets. Employee further acknowledges and agrees that the restrictions imposed by this Agreement will not prevent him/her from earning a living in the event of, and after, the end, for whatever reason, of the Period of Engagement.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Prospective Employers</w:t>
      </w:r>
      <w:r>
        <w:rPr>
          <w:rFonts w:ascii="Times New Roman" w:cs="Times New Roman" w:eastAsia="Times New Roman" w:hAnsi="Times New Roman"/>
          <w:sz w:val="18"/>
          <w:szCs w:val="18"/>
          <w:color w:val="auto"/>
        </w:rPr>
        <w:t>. Employee agrees, during the term of any restriction contained in this Agreement, to disclose this Agreement to any entity which offers to Employee employment or the opportunity to provide services. Employee further agrees that the Company may send a copy of this Agreement to, or otherwise make the provisions hereof known to, any of Employee’s potential or future employers or business engagements.</w:t>
      </w:r>
    </w:p>
    <w:p>
      <w:pPr>
        <w:spacing w:after="0" w:line="172" w:lineRule="exact"/>
        <w:rPr>
          <w:sz w:val="20"/>
          <w:szCs w:val="20"/>
          <w:color w:val="auto"/>
        </w:rPr>
      </w:pPr>
    </w:p>
    <w:p>
      <w:pPr>
        <w:ind w:left="720" w:hanging="712"/>
        <w:spacing w:after="0"/>
        <w:tabs>
          <w:tab w:leader="none" w:pos="7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Entire Agreement; Amendment or Waiver</w:t>
      </w:r>
      <w:r>
        <w:rPr>
          <w:rFonts w:ascii="Times New Roman" w:cs="Times New Roman" w:eastAsia="Times New Roman" w:hAnsi="Times New Roman"/>
          <w:sz w:val="18"/>
          <w:szCs w:val="18"/>
          <w:color w:val="auto"/>
        </w:rPr>
        <w:t>. This Agreement contains the entire understanding between the parties with respect to the subject matter hereof, and all prior discussions, negotiations, agreements, correspondence, and understandings, whether oral or written, between Employee and the Company with respect to the subject matter hereof, including, without limitation, any Nondisclosure Agreement dated prior to this agreement, are here by superseded. No provision of this agreement may be amended or waived other than in writing by the party against whom enforcement of such amendment or waiver is sought.</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parties agree that damages will be an inadequate remedy for breaches of this Agreement and in addition to damages and any available relief, a court shall be empowered to grant injunctive relief without the necessity of posting bond or other security.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questions arising in connection herewith shall be governed by and construed in accordance with the laws of Delaware.</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Execution of this Agreement is a condition of Employee’s commencement of employment with the Company.</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obligations imposed by, and the provisions of, this Agreement are severable and should be construed independently of each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invalidity of one provision shall not affect the validity of any other provision.</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Terminable-At-Will</w:t>
      </w:r>
      <w:r>
        <w:rPr>
          <w:rFonts w:ascii="Times New Roman" w:cs="Times New Roman" w:eastAsia="Times New Roman" w:hAnsi="Times New Roman"/>
          <w:sz w:val="18"/>
          <w:szCs w:val="18"/>
          <w:color w:val="auto"/>
        </w:rPr>
        <w:t>. Nothing in this Agreement shall be construed to limit the right of either party to terminate the employment at any time for any or no reason with or without notice.</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6.7. Notwithstanding anything in this Agreement to the contrary, nothing herein prohibits the Employee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In connection with any such activity, the Employee must identify any information that is confidential and ask the Regulator for confidential treatment of such information. Despite the foregoing, the Employee is not permitted to reveal to any third party, including any governmental, law enforcement, or regulatory authority, information that is protected from disclosure by any applicable privilege, including but not limited to the attorney-client privilege, attorney work product doctrine and/or other applicable legal privileges. The Company does not waive any applicable privileges or the right to continue to protect its privileged attorney-client information, attorney work product, and other privileged information. Notwithstanding any other provisions of this Agreement, pursuant to 18 USC Section 1833(b), the Employee shall not be held criminally or civilly liable under any federal or state trade secret law for the disclosure of a Company trade secret that is made: (a) confidentially to a federal, state, or local government official, either directly or indirectly, or to an attorney, and solely for the purpose of reporting or investigating a suspected violation of law; or (b)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7" w:name="page158"/>
    <w:bookmarkEnd w:id="157"/>
    <w:p>
      <w:pPr>
        <w:spacing w:after="0" w:line="261" w:lineRule="auto"/>
        <w:rPr>
          <w:sz w:val="20"/>
          <w:szCs w:val="20"/>
          <w:color w:val="auto"/>
        </w:rPr>
      </w:pPr>
      <w:r>
        <w:rPr>
          <w:rFonts w:ascii="Times New Roman" w:cs="Times New Roman" w:eastAsia="Times New Roman" w:hAnsi="Times New Roman"/>
          <w:sz w:val="18"/>
          <w:szCs w:val="18"/>
          <w:color w:val="auto"/>
        </w:rPr>
        <w:t>complaint or other document filed in a lawsuit or other proceeding, if such filing is made under seal. If the Employee files a lawsuit for retaliation by the Company for reporting a suspected violation of law, the Employee may disclose a Company trade secret to the Employee’s attorney and use the trade secret information in related court proceedings, provided that Employee files any document containing the trade secret information under seal and does not disclose the trade secret, except pursuant to court order.</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WITNESS WHEREOF, Employee and the Company have executed this Nondisclosure and Business Ideas Agreement to be effective as of the date first above written.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OCUGEN,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Shankar Musunuri</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Chairman &amp;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Shankar Musunuri, certify that:</w:t>
      </w:r>
    </w:p>
    <w:p>
      <w:pPr>
        <w:spacing w:after="0" w:line="225" w:lineRule="exact"/>
        <w:rPr>
          <w:sz w:val="20"/>
          <w:szCs w:val="20"/>
          <w:color w:val="auto"/>
        </w:rPr>
      </w:pPr>
    </w:p>
    <w:p>
      <w:pPr>
        <w:ind w:left="400" w:hanging="392"/>
        <w:spacing w:after="0"/>
        <w:tabs>
          <w:tab w:leader="none" w:pos="4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Ocugen, Inc.;</w:t>
      </w:r>
    </w:p>
    <w:p>
      <w:pPr>
        <w:spacing w:after="0" w:line="225" w:lineRule="exact"/>
        <w:rPr>
          <w:rFonts w:ascii="Times New Roman" w:cs="Times New Roman" w:eastAsia="Times New Roman" w:hAnsi="Times New Roman"/>
          <w:sz w:val="18"/>
          <w:szCs w:val="18"/>
          <w:color w:val="auto"/>
        </w:rPr>
      </w:pPr>
    </w:p>
    <w:p>
      <w:pPr>
        <w:ind w:left="400" w:right="60" w:hanging="392"/>
        <w:spacing w:after="0" w:line="313" w:lineRule="auto"/>
        <w:tabs>
          <w:tab w:leader="none" w:pos="40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400" w:right="520" w:hanging="392"/>
        <w:spacing w:after="0" w:line="282" w:lineRule="auto"/>
        <w:tabs>
          <w:tab w:leader="none" w:pos="40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00" w:right="120" w:hanging="392"/>
        <w:spacing w:after="0" w:line="266" w:lineRule="auto"/>
        <w:tabs>
          <w:tab w:leader="none" w:pos="40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780" w:right="380" w:hanging="383"/>
        <w:spacing w:after="0" w:line="266" w:lineRule="auto"/>
        <w:tabs>
          <w:tab w:leader="none" w:pos="77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780" w:right="120" w:hanging="383"/>
        <w:spacing w:after="0" w:line="266" w:lineRule="auto"/>
        <w:tabs>
          <w:tab w:leader="none" w:pos="78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780" w:right="900" w:hanging="383"/>
        <w:spacing w:after="0" w:line="282" w:lineRule="auto"/>
        <w:tabs>
          <w:tab w:leader="none" w:pos="78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80" w:right="20" w:hanging="383"/>
        <w:spacing w:after="0" w:line="266" w:lineRule="auto"/>
        <w:tabs>
          <w:tab w:leader="none" w:pos="78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00" w:right="240" w:hanging="392"/>
        <w:spacing w:after="0" w:line="282" w:lineRule="auto"/>
        <w:tabs>
          <w:tab w:leader="none" w:pos="40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80" w:right="380" w:hanging="383"/>
        <w:spacing w:after="0" w:line="282" w:lineRule="auto"/>
        <w:tabs>
          <w:tab w:leader="none" w:pos="77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80" w:right="320" w:hanging="383"/>
        <w:spacing w:after="0" w:line="282" w:lineRule="auto"/>
        <w:tabs>
          <w:tab w:leader="none" w:pos="78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8"/>
          <w:szCs w:val="18"/>
          <w:color w:val="auto"/>
        </w:rPr>
        <w:t>/s/ Shankar Musunuri, Ph.D., MBA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&amp; Chairman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9" w:name="page160"/>
    <w:bookmarkEnd w:id="15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Subramanian, certify that:</w:t>
      </w:r>
    </w:p>
    <w:p>
      <w:pPr>
        <w:spacing w:after="0" w:line="225" w:lineRule="exact"/>
        <w:rPr>
          <w:sz w:val="20"/>
          <w:szCs w:val="20"/>
          <w:color w:val="auto"/>
        </w:rPr>
      </w:pPr>
    </w:p>
    <w:p>
      <w:pPr>
        <w:ind w:left="400" w:hanging="392"/>
        <w:spacing w:after="0"/>
        <w:tabs>
          <w:tab w:leader="none" w:pos="4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Ocugen, Inc.;</w:t>
      </w:r>
    </w:p>
    <w:p>
      <w:pPr>
        <w:spacing w:after="0" w:line="225" w:lineRule="exact"/>
        <w:rPr>
          <w:rFonts w:ascii="Times New Roman" w:cs="Times New Roman" w:eastAsia="Times New Roman" w:hAnsi="Times New Roman"/>
          <w:sz w:val="18"/>
          <w:szCs w:val="18"/>
          <w:color w:val="auto"/>
        </w:rPr>
      </w:pPr>
    </w:p>
    <w:p>
      <w:pPr>
        <w:ind w:left="400" w:right="100" w:hanging="392"/>
        <w:spacing w:after="0" w:line="313" w:lineRule="auto"/>
        <w:tabs>
          <w:tab w:leader="none" w:pos="40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400" w:right="560" w:hanging="392"/>
        <w:spacing w:after="0" w:line="282" w:lineRule="auto"/>
        <w:tabs>
          <w:tab w:leader="none" w:pos="4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00" w:right="160" w:hanging="392"/>
        <w:spacing w:after="0" w:line="266" w:lineRule="auto"/>
        <w:tabs>
          <w:tab w:leader="none" w:pos="4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780" w:right="420" w:hanging="383"/>
        <w:spacing w:after="0" w:line="266" w:lineRule="auto"/>
        <w:tabs>
          <w:tab w:leader="none" w:pos="77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780" w:right="160" w:hanging="383"/>
        <w:spacing w:after="0" w:line="266" w:lineRule="auto"/>
        <w:tabs>
          <w:tab w:leader="none" w:pos="78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780" w:right="940" w:hanging="383"/>
        <w:spacing w:after="0" w:line="282" w:lineRule="auto"/>
        <w:tabs>
          <w:tab w:leader="none" w:pos="78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80" w:right="60" w:hanging="383"/>
        <w:spacing w:after="0" w:line="266" w:lineRule="auto"/>
        <w:tabs>
          <w:tab w:leader="none" w:pos="78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00" w:right="280" w:hanging="392"/>
        <w:spacing w:after="0" w:line="282" w:lineRule="auto"/>
        <w:tabs>
          <w:tab w:leader="none" w:pos="40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80" w:right="420" w:hanging="383"/>
        <w:spacing w:after="0" w:line="282" w:lineRule="auto"/>
        <w:tabs>
          <w:tab w:leader="none" w:pos="77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80" w:right="360" w:hanging="383"/>
        <w:spacing w:after="0" w:line="282" w:lineRule="auto"/>
        <w:tabs>
          <w:tab w:leader="none" w:pos="78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194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Subramanian</w:t>
            </w:r>
          </w:p>
        </w:tc>
        <w:tc>
          <w:tcPr>
            <w:tcW w:w="4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7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Sanjay Subramanian</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40" w:type="dxa"/>
            <w:vAlign w:val="bottom"/>
          </w:tcPr>
          <w:p>
            <w:pPr>
              <w:spacing w:after="0"/>
              <w:rPr>
                <w:sz w:val="18"/>
                <w:szCs w:val="18"/>
                <w:color w:val="auto"/>
              </w:rPr>
            </w:pPr>
          </w:p>
        </w:tc>
      </w:tr>
      <w:tr>
        <w:trPr>
          <w:trHeight w:val="238"/>
        </w:trPr>
        <w:tc>
          <w:tcPr>
            <w:tcW w:w="3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 and Accounting Officer)</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764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62"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Shankar Musunuri, Ph.D., MBA</w:t>
            </w:r>
          </w:p>
        </w:tc>
      </w:tr>
      <w:tr>
        <w:trPr>
          <w:trHeight w:val="187"/>
        </w:trPr>
        <w:tc>
          <w:tcPr>
            <w:tcW w:w="5720" w:type="dxa"/>
            <w:vAlign w:val="bottom"/>
          </w:tcPr>
          <w:p>
            <w:pPr>
              <w:spacing w:after="0"/>
              <w:rPr>
                <w:sz w:val="16"/>
                <w:szCs w:val="16"/>
                <w:color w:val="auto"/>
              </w:rPr>
            </w:pPr>
          </w:p>
        </w:tc>
        <w:tc>
          <w:tcPr>
            <w:tcW w:w="57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Shankar Musunuri, Ph.D., MBA</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&amp; Chairman</w:t>
            </w:r>
          </w:p>
        </w:tc>
      </w:tr>
      <w:tr>
        <w:trPr>
          <w:trHeight w:val="238"/>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Subramanian</w:t>
            </w:r>
          </w:p>
        </w:tc>
      </w:tr>
      <w:tr>
        <w:trPr>
          <w:trHeight w:val="187"/>
        </w:trPr>
        <w:tc>
          <w:tcPr>
            <w:tcW w:w="5720" w:type="dxa"/>
            <w:vAlign w:val="bottom"/>
          </w:tcPr>
          <w:p>
            <w:pPr>
              <w:spacing w:after="0"/>
              <w:rPr>
                <w:sz w:val="16"/>
                <w:szCs w:val="16"/>
                <w:color w:val="auto"/>
              </w:rPr>
            </w:pPr>
          </w:p>
        </w:tc>
        <w:tc>
          <w:tcPr>
            <w:tcW w:w="57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Sanjay Subramanian</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8"/>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 and Accounting Officer)</w:t>
            </w:r>
          </w:p>
        </w:tc>
      </w:tr>
    </w:tbl>
    <w:p>
      <w:pPr>
        <w:spacing w:after="0" w:line="198" w:lineRule="exact"/>
        <w:rPr>
          <w:sz w:val="20"/>
          <w:szCs w:val="20"/>
          <w:color w:val="auto"/>
        </w:rPr>
      </w:pPr>
    </w:p>
    <w:p>
      <w:pPr>
        <w:ind w:right="220" w:firstLine="416"/>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F305DEF"/>
    <w:multiLevelType w:val="hybridMultilevel"/>
    <w:lvl w:ilvl="0">
      <w:lvlJc w:val="left"/>
      <w:lvlText w:val="x"/>
      <w:numFmt w:val="bullet"/>
      <w:start w:val="1"/>
    </w:lvl>
  </w:abstractNum>
  <w:abstractNum w:abstractNumId="1">
    <w:nsid w:val="25A70BF7"/>
    <w:multiLevelType w:val="hybridMultilevel"/>
    <w:lvl w:ilvl="0">
      <w:lvlJc w:val="left"/>
      <w:lvlText w:val="o"/>
      <w:numFmt w:val="bullet"/>
      <w:start w:val="1"/>
    </w:lvl>
  </w:abstractNum>
  <w:abstractNum w:abstractNumId="2">
    <w:nsid w:val="1DBABF00"/>
    <w:multiLevelType w:val="hybridMultilevel"/>
    <w:lvl w:ilvl="0">
      <w:lvlJc w:val="left"/>
      <w:lvlText w:val="(%1)"/>
      <w:numFmt w:val="lowerRoman"/>
      <w:start w:val="3"/>
    </w:lvl>
  </w:abstractNum>
  <w:abstractNum w:abstractNumId="3">
    <w:nsid w:val="4AD084E9"/>
    <w:multiLevelType w:val="hybridMultilevel"/>
    <w:lvl w:ilvl="0">
      <w:lvlJc w:val="left"/>
      <w:lvlText w:val="%1."/>
      <w:numFmt w:val="decimal"/>
      <w:start w:val="1"/>
    </w:lvl>
  </w:abstractNum>
  <w:abstractNum w:abstractNumId="4">
    <w:nsid w:val="1F48EAA1"/>
    <w:multiLevelType w:val="hybridMultilevel"/>
    <w:lvl w:ilvl="0">
      <w:lvlJc w:val="left"/>
      <w:lvlText w:val="%1."/>
      <w:numFmt w:val="decimal"/>
      <w:start w:val="2"/>
    </w:lvl>
  </w:abstractNum>
  <w:abstractNum w:abstractNumId="5">
    <w:nsid w:val="1381823A"/>
    <w:multiLevelType w:val="hybridMultilevel"/>
    <w:lvl w:ilvl="0">
      <w:lvlJc w:val="left"/>
      <w:lvlText w:val="%1."/>
      <w:numFmt w:val="decimal"/>
      <w:start w:val="3"/>
    </w:lvl>
  </w:abstractNum>
  <w:abstractNum w:abstractNumId="6">
    <w:nsid w:val="5DB70AE5"/>
    <w:multiLevelType w:val="hybridMultilevel"/>
    <w:lvl w:ilvl="0">
      <w:lvlJc w:val="left"/>
      <w:lvlText w:val="%1."/>
      <w:numFmt w:val="decimal"/>
      <w:start w:val="4"/>
    </w:lvl>
  </w:abstractNum>
  <w:abstractNum w:abstractNumId="7">
    <w:nsid w:val="100F8FCA"/>
    <w:multiLevelType w:val="hybridMultilevel"/>
    <w:lvl w:ilvl="0">
      <w:lvlJc w:val="left"/>
      <w:lvlText w:val="%1."/>
      <w:numFmt w:val="decimal"/>
      <w:start w:val="5"/>
    </w:lvl>
  </w:abstractNum>
  <w:abstractNum w:abstractNumId="8">
    <w:nsid w:val="6590700B"/>
    <w:multiLevelType w:val="hybridMultilevel"/>
    <w:lvl w:ilvl="0">
      <w:lvlJc w:val="left"/>
      <w:lvlText w:val="(%1)"/>
      <w:numFmt w:val="decimal"/>
      <w:start w:val="1"/>
    </w:lvl>
  </w:abstractNum>
  <w:abstractNum w:abstractNumId="9">
    <w:nsid w:val="15014ACB"/>
    <w:multiLevelType w:val="hybridMultilevel"/>
    <w:lvl w:ilvl="0">
      <w:lvlJc w:val="left"/>
      <w:lvlText w:val="%1."/>
      <w:numFmt w:val="decimal"/>
      <w:start w:val="6"/>
    </w:lvl>
  </w:abstractNum>
  <w:abstractNum w:abstractNumId="10">
    <w:nsid w:val="5F5E7FD0"/>
    <w:multiLevelType w:val="hybridMultilevel"/>
    <w:lvl w:ilvl="0">
      <w:lvlJc w:val="left"/>
      <w:lvlText w:val="%1."/>
      <w:numFmt w:val="decimal"/>
      <w:start w:val="7"/>
    </w:lvl>
  </w:abstractNum>
  <w:abstractNum w:abstractNumId="11">
    <w:nsid w:val="98A3148"/>
    <w:multiLevelType w:val="hybridMultilevel"/>
    <w:lvl w:ilvl="0">
      <w:lvlJc w:val="left"/>
      <w:lvlText w:val="%1."/>
      <w:numFmt w:val="decimal"/>
      <w:start w:val="8"/>
    </w:lvl>
  </w:abstractNum>
  <w:abstractNum w:abstractNumId="12">
    <w:nsid w:val="799D0247"/>
    <w:multiLevelType w:val="hybridMultilevel"/>
    <w:lvl w:ilvl="0">
      <w:lvlJc w:val="left"/>
      <w:lvlText w:val="%1."/>
      <w:numFmt w:val="decimal"/>
      <w:start w:val="9"/>
    </w:lvl>
  </w:abstractNum>
  <w:abstractNum w:abstractNumId="13">
    <w:nsid w:val="6B94764"/>
    <w:multiLevelType w:val="hybridMultilevel"/>
    <w:lvl w:ilvl="0">
      <w:lvlJc w:val="left"/>
      <w:lvlText w:val="%1."/>
      <w:numFmt w:val="decimal"/>
      <w:start w:val="10"/>
    </w:lvl>
  </w:abstractNum>
  <w:abstractNum w:abstractNumId="14">
    <w:nsid w:val="42C296BD"/>
    <w:multiLevelType w:val="hybridMultilevel"/>
    <w:lvl w:ilvl="0">
      <w:lvlJc w:val="left"/>
      <w:lvlText w:val="%1."/>
      <w:numFmt w:val="decimal"/>
      <w:start w:val="11"/>
    </w:lvl>
  </w:abstractNum>
  <w:abstractNum w:abstractNumId="15">
    <w:nsid w:val="168E121F"/>
    <w:multiLevelType w:val="hybridMultilevel"/>
    <w:lvl w:ilvl="0">
      <w:lvlJc w:val="left"/>
      <w:lvlText w:val="(%1)"/>
      <w:numFmt w:val="lowerLetter"/>
      <w:start w:val="2"/>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1."/>
      <w:numFmt w:val="decimal"/>
      <w:start w:val="12"/>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1)"/>
      <w:numFmt w:val="decimal"/>
      <w:start w:val="2"/>
    </w:lvl>
  </w:abstractNum>
  <w:abstractNum w:abstractNumId="38">
    <w:nsid w:val="100F59DC"/>
    <w:multiLevelType w:val="hybridMultilevel"/>
    <w:lvl w:ilvl="0">
      <w:lvlJc w:val="left"/>
      <w:lvlText w:val="(%1)"/>
      <w:numFmt w:val="decimal"/>
      <w:start w:val="2"/>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1)"/>
      <w:numFmt w:val="lowerRoman"/>
      <w:start w:val="4"/>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1)"/>
      <w:numFmt w:val="lowerLetter"/>
      <w:start w:val="3"/>
    </w:lvl>
  </w:abstractNum>
  <w:abstractNum w:abstractNumId="61">
    <w:nsid w:val="49DA307D"/>
    <w:multiLevelType w:val="hybridMultilevel"/>
    <w:lvl w:ilvl="0">
      <w:lvlJc w:val="left"/>
      <w:lvlText w:val="(%1)"/>
      <w:numFmt w:val="lowerRoman"/>
      <w:start w:val="1"/>
    </w:lvl>
  </w:abstractNum>
  <w:abstractNum w:abstractNumId="62">
    <w:nsid w:val="7055A5F5"/>
    <w:multiLevelType w:val="hybridMultilevel"/>
    <w:lvl w:ilvl="0">
      <w:lvlJc w:val="left"/>
      <w:lvlText w:val="%1."/>
      <w:numFmt w:val="decimal"/>
      <w:start w:val="2"/>
    </w:lvl>
  </w:abstractNum>
  <w:abstractNum w:abstractNumId="63">
    <w:nsid w:val="5FB8370B"/>
    <w:multiLevelType w:val="hybridMultilevel"/>
    <w:lvl w:ilvl="0">
      <w:lvlJc w:val="left"/>
      <w:lvlText w:val="%1"/>
      <w:numFmt w:val="lowerRoman"/>
      <w:start w:val="1"/>
    </w:lvl>
    <w:lvl w:ilvl="1">
      <w:lvlJc w:val="left"/>
      <w:lvlText w:val="(%2)"/>
      <w:numFmt w:val="lowerLetter"/>
      <w:start w:val="1"/>
    </w:lvl>
  </w:abstractNum>
  <w:abstractNum w:abstractNumId="64">
    <w:nsid w:val="50801EE1"/>
    <w:multiLevelType w:val="hybridMultilevel"/>
    <w:lvl w:ilvl="0">
      <w:lvlJc w:val="left"/>
      <w:lvlText w:val="(%1)"/>
      <w:numFmt w:val="lowerRoman"/>
      <w:start w:val="1"/>
    </w:lvl>
    <w:lvl w:ilvl="1">
      <w:lvlJc w:val="left"/>
      <w:lvlText w:val="%2"/>
      <w:numFmt w:val="lowerLetter"/>
      <w:start w:val="1"/>
    </w:lvl>
  </w:abstractNum>
  <w:abstractNum w:abstractNumId="65">
    <w:nsid w:val="488AC1A"/>
    <w:multiLevelType w:val="hybridMultilevel"/>
    <w:lvl w:ilvl="0">
      <w:lvlJc w:val="left"/>
      <w:lvlText w:val="(%1)"/>
      <w:numFmt w:val="lowerLetter"/>
      <w:start w:val="1"/>
    </w:lvl>
  </w:abstractNum>
  <w:abstractNum w:abstractNumId="66">
    <w:nsid w:val="5FB8011C"/>
    <w:multiLevelType w:val="hybridMultilevel"/>
    <w:lvl w:ilvl="0">
      <w:lvlJc w:val="left"/>
      <w:lvlText w:val="%1."/>
      <w:numFmt w:val="decimal"/>
      <w:start w:val="3"/>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2"/>
    </w:lvl>
  </w:abstractNum>
  <w:abstractNum w:abstractNumId="70">
    <w:nsid w:val="6A5F7029"/>
    <w:multiLevelType w:val="hybridMultilevel"/>
    <w:lvl w:ilvl="0">
      <w:lvlJc w:val="left"/>
      <w:lvlText w:val="(%1)"/>
      <w:numFmt w:val="lowerLetter"/>
      <w:start w:val="1"/>
    </w:lvl>
  </w:abstractNum>
  <w:abstractNum w:abstractNumId="71">
    <w:nsid w:val="7D5E18F8"/>
    <w:multiLevelType w:val="hybridMultilevel"/>
    <w:lvl w:ilvl="0">
      <w:lvlJc w:val="left"/>
      <w:lvlText w:val="(%1)"/>
      <w:numFmt w:val="lowerLetter"/>
      <w:start w:val="4"/>
    </w:lvl>
  </w:abstractNum>
  <w:abstractNum w:abstractNumId="72">
    <w:nsid w:val="5F3534A4"/>
    <w:multiLevelType w:val="hybridMultilevel"/>
    <w:lvl w:ilvl="0">
      <w:lvlJc w:val="left"/>
      <w:lvlText w:val="(%1)"/>
      <w:numFmt w:val="lowerLetter"/>
      <w:start w:val="3"/>
    </w:lvl>
  </w:abstractNum>
  <w:abstractNum w:abstractNumId="73">
    <w:nsid w:val="73A1821B"/>
    <w:multiLevelType w:val="hybridMultilevel"/>
    <w:lvl w:ilvl="0">
      <w:lvlJc w:val="left"/>
      <w:lvlText w:val="4"/>
      <w:numFmt w:val="bullet"/>
      <w:start w:val="1"/>
    </w:lvl>
  </w:abstractNum>
  <w:abstractNum w:abstractNumId="74">
    <w:nsid w:val="7DE67713"/>
    <w:multiLevelType w:val="hybridMultilevel"/>
    <w:lvl w:ilvl="0">
      <w:lvlJc w:val="left"/>
      <w:lvlText w:val="5"/>
      <w:numFmt w:val="bullet"/>
      <w:start w:val="1"/>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6"/>
      <w:numFmt w:val="bullet"/>
      <w:start w:val="1"/>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1)"/>
      <w:numFmt w:val="lowerLetter"/>
      <w:start w:val="2"/>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7"/>
      <w:numFmt w:val="bullet"/>
      <w:start w:val="1"/>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3"/>
    </w:lvl>
  </w:abstractNum>
  <w:abstractNum w:abstractNumId="83">
    <w:nsid w:val="5092CA79"/>
    <w:multiLevelType w:val="hybridMultilevel"/>
    <w:lvl w:ilvl="0">
      <w:lvlJc w:val="left"/>
      <w:lvlText w:val="(%1)"/>
      <w:numFmt w:val="lowerLetter"/>
      <w:start w:val="1"/>
    </w:lvl>
  </w:abstractNum>
  <w:abstractNum w:abstractNumId="84">
    <w:nsid w:val="1D545C4D"/>
    <w:multiLevelType w:val="hybridMultilevel"/>
    <w:lvl w:ilvl="0">
      <w:lvlJc w:val="left"/>
      <w:lvlText w:val="(%1)"/>
      <w:numFmt w:val="lowerLetter"/>
      <w:start w:val="3"/>
    </w:lvl>
  </w:abstractNum>
  <w:abstractNum w:abstractNumId="85">
    <w:nsid w:val="59ADEA3D"/>
    <w:multiLevelType w:val="hybridMultilevel"/>
    <w:lvl w:ilvl="0">
      <w:lvlJc w:val="left"/>
      <w:lvlText w:val="8"/>
      <w:numFmt w:val="bullet"/>
      <w:start w:val="1"/>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1"/>
    </w:lvl>
  </w:abstractNum>
  <w:abstractNum w:abstractNumId="88">
    <w:nsid w:val="1D9F6E5F"/>
    <w:multiLevelType w:val="hybridMultilevel"/>
    <w:lvl w:ilvl="0">
      <w:lvlJc w:val="left"/>
      <w:lvlText w:val="(%1)"/>
      <w:numFmt w:val="lowerLetter"/>
      <w:start w:val="4"/>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9"/>
      <w:numFmt w:val="bullet"/>
      <w:start w:val="1"/>
    </w:lvl>
  </w:abstractNum>
  <w:abstractNum w:abstractNumId="91">
    <w:nsid w:val="1CA0C5FA"/>
    <w:multiLevelType w:val="hybridMultilevel"/>
    <w:lvl w:ilvl="0">
      <w:lvlJc w:val="left"/>
      <w:lvlText w:val="(%1)"/>
      <w:numFmt w:val="lowerLetter"/>
      <w:start w:val="1"/>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35"/>
    </w:lvl>
    <w:lvl w:ilvl="1">
      <w:lvlJc w:val="left"/>
      <w:lvlText w:val="(%2)"/>
      <w:numFmt w:val="lowerLetter"/>
      <w:start w:val="5"/>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lowerLetter"/>
      <w:start w:val="2"/>
    </w:lvl>
  </w:abstractNum>
  <w:abstractNum w:abstractNumId="97">
    <w:nsid w:val="5C10FE21"/>
    <w:multiLevelType w:val="hybridMultilevel"/>
    <w:lvl w:ilvl="0">
      <w:lvlJc w:val="left"/>
      <w:lvlText w:val="(%1)"/>
      <w:numFmt w:val="lowerLetter"/>
      <w:start w:val="2"/>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
      <w:numFmt w:val="bullet"/>
      <w:start w:val="1"/>
    </w:lvl>
  </w:abstractNum>
  <w:abstractNum w:abstractNumId="100">
    <w:nsid w:val="4BD8591A"/>
    <w:multiLevelType w:val="hybridMultilevel"/>
    <w:lvl w:ilvl="0">
      <w:lvlJc w:val="left"/>
      <w:lvlText w:val="["/>
      <w:numFmt w:val="bullet"/>
      <w:start w:val="1"/>
    </w:lvl>
  </w:abstractNum>
  <w:abstractNum w:abstractNumId="101">
    <w:nsid w:val="78DF6A55"/>
    <w:multiLevelType w:val="hybridMultilevel"/>
    <w:lvl w:ilvl="0">
      <w:lvlJc w:val="left"/>
      <w:lvlText w:val="["/>
      <w:numFmt w:val="bullet"/>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lowerLetter"/>
      <w:start w:val="1"/>
    </w:lvl>
  </w:abstractNum>
  <w:abstractNum w:abstractNumId="104">
    <w:nsid w:val="6C80EC70"/>
    <w:multiLevelType w:val="hybridMultilevel"/>
    <w:lvl w:ilvl="0">
      <w:lvlJc w:val="left"/>
      <w:lvlText w:val="(%1)"/>
      <w:numFmt w:val="lowerLetter"/>
      <w:start w:val="2"/>
    </w:lvl>
  </w:abstractNum>
  <w:abstractNum w:abstractNumId="105">
    <w:nsid w:val="379E21B5"/>
    <w:multiLevelType w:val="hybridMultilevel"/>
    <w:lvl w:ilvl="0">
      <w:lvlJc w:val="left"/>
      <w:lvlText w:val="(%1)"/>
      <w:numFmt w:val="lowerRoman"/>
      <w:start w:val="2"/>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decimal"/>
      <w:start w:val="2"/>
    </w:lvl>
  </w:abstractNum>
  <w:abstractNum w:abstractNumId="108">
    <w:nsid w:val="4C9B0904"/>
    <w:multiLevelType w:val="hybridMultilevel"/>
    <w:lvl w:ilvl="0">
      <w:lvlJc w:val="left"/>
      <w:lvlText w:val="(%1)"/>
      <w:numFmt w:val="lowerRoman"/>
      <w:start w:val="4"/>
    </w:lvl>
    <w:lvl w:ilvl="1">
      <w:lvlJc w:val="left"/>
      <w:lvlText w:val="%2."/>
      <w:numFmt w:val="decimal"/>
      <w:start w:val="3"/>
    </w:lvl>
  </w:abstractNum>
  <w:abstractNum w:abstractNumId="109">
    <w:nsid w:val="6AA7B75C"/>
    <w:multiLevelType w:val="hybridMultilevel"/>
    <w:lvl w:ilvl="0">
      <w:lvlJc w:val="left"/>
      <w:lvlText w:val="%1."/>
      <w:numFmt w:val="decimal"/>
      <w:start w:val="5"/>
    </w:lvl>
  </w:abstractNum>
  <w:abstractNum w:abstractNumId="110">
    <w:nsid w:val="1DF029D3"/>
    <w:multiLevelType w:val="hybridMultilevel"/>
    <w:lvl w:ilvl="0">
      <w:lvlJc w:val="left"/>
      <w:lvlText w:val="%1."/>
      <w:numFmt w:val="decimal"/>
      <w:start w:val="6"/>
    </w:lvl>
  </w:abstractNum>
  <w:abstractNum w:abstractNumId="111">
    <w:nsid w:val="5675FF36"/>
    <w:multiLevelType w:val="hybridMultilevel"/>
    <w:lvl w:ilvl="0">
      <w:lvlJc w:val="left"/>
      <w:lvlText w:val="(%1)"/>
      <w:numFmt w:val="upperLetter"/>
      <w:start w:val="2"/>
    </w:lvl>
  </w:abstractNum>
  <w:abstractNum w:abstractNumId="112">
    <w:nsid w:val="3DD15094"/>
    <w:multiLevelType w:val="hybridMultilevel"/>
    <w:lvl w:ilvl="0">
      <w:lvlJc w:val="left"/>
      <w:lvlText w:val="%1."/>
      <w:numFmt w:val="decimal"/>
      <w:start w:val="7"/>
    </w:lvl>
  </w:abstractNum>
  <w:abstractNum w:abstractNumId="113">
    <w:nsid w:val="3DB012B3"/>
    <w:multiLevelType w:val="hybridMultilevel"/>
    <w:lvl w:ilvl="0">
      <w:lvlJc w:val="left"/>
      <w:lvlText w:val="%1."/>
      <w:numFmt w:val="decimal"/>
      <w:start w:val="9"/>
    </w:lvl>
  </w:abstractNum>
  <w:abstractNum w:abstractNumId="114">
    <w:nsid w:val="2708C9AF"/>
    <w:multiLevelType w:val="hybridMultilevel"/>
    <w:lvl w:ilvl="0">
      <w:lvlJc w:val="left"/>
      <w:lvlText w:val="%1."/>
      <w:numFmt w:val="decimal"/>
      <w:start w:val="10"/>
    </w:lvl>
  </w:abstractNum>
  <w:abstractNum w:abstractNumId="115">
    <w:nsid w:val="5B25ACE2"/>
    <w:multiLevelType w:val="hybridMultilevel"/>
    <w:lvl w:ilvl="0">
      <w:lvlJc w:val="left"/>
      <w:lvlText w:val="·"/>
      <w:numFmt w:val="bullet"/>
      <w:start w:val="1"/>
    </w:lvl>
  </w:abstractNum>
  <w:abstractNum w:abstractNumId="116">
    <w:nsid w:val="175DFCF0"/>
    <w:multiLevelType w:val="hybridMultilevel"/>
    <w:lvl w:ilvl="0">
      <w:lvlJc w:val="left"/>
      <w:lvlText w:val="%1."/>
      <w:numFmt w:val="upperLetter"/>
      <w:start w:val="1"/>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2"/>
    </w:lvl>
  </w:abstractNum>
  <w:abstractNum w:abstractNumId="119">
    <w:nsid w:val="34FD6B4F"/>
    <w:multiLevelType w:val="hybridMultilevel"/>
    <w:lvl w:ilvl="0">
      <w:lvlJc w:val="left"/>
      <w:lvlText w:val="%1."/>
      <w:numFmt w:val="decimal"/>
      <w:start w:val="4"/>
    </w:lvl>
  </w:abstractNum>
  <w:abstractNum w:abstractNumId="120">
    <w:nsid w:val="5915FF32"/>
    <w:multiLevelType w:val="hybridMultilevel"/>
    <w:lvl w:ilvl="0">
      <w:lvlJc w:val="left"/>
      <w:lvlText w:val="%1."/>
      <w:numFmt w:val="upperLetter"/>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decimal"/>
      <w:start w:val="2"/>
    </w:lvl>
  </w:abstractNum>
  <w:abstractNum w:abstractNumId="123">
    <w:nsid w:val="2C6E4AFD"/>
    <w:multiLevelType w:val="hybridMultilevel"/>
    <w:lvl w:ilvl="0">
      <w:lvlJc w:val="left"/>
      <w:lvlText w:val="(%1)"/>
      <w:numFmt w:val="lowerRoman"/>
      <w:start w:val="2"/>
    </w:lvl>
  </w:abstractNum>
  <w:abstractNum w:abstractNumId="124">
    <w:nsid w:val="17A1B582"/>
    <w:multiLevelType w:val="hybridMultilevel"/>
    <w:lvl w:ilvl="0">
      <w:lvlJc w:val="left"/>
      <w:lvlText w:val="%1."/>
      <w:numFmt w:val="decimal"/>
      <w:start w:val="3"/>
    </w:lvl>
  </w:abstractNum>
  <w:abstractNum w:abstractNumId="125">
    <w:nsid w:val="4DF72E4E"/>
    <w:multiLevelType w:val="hybridMultilevel"/>
    <w:lvl w:ilvl="0">
      <w:lvlJc w:val="left"/>
      <w:lvlText w:val="%1."/>
      <w:numFmt w:val="decimal"/>
      <w:start w:val="4"/>
    </w:lvl>
  </w:abstractNum>
  <w:abstractNum w:abstractNumId="126">
    <w:nsid w:val="5046B5A9"/>
    <w:multiLevelType w:val="hybridMultilevel"/>
    <w:lvl w:ilvl="0">
      <w:lvlJc w:val="left"/>
      <w:lvlText w:val="%1."/>
      <w:numFmt w:val="decimal"/>
      <w:start w:val="6"/>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117" Type="http://schemas.openxmlformats.org/officeDocument/2006/relationships/hyperlink" Target="http://www.sec.gov/Archives/edgar/data/1372299/000110465919052266/a19-19180_3ex3d1.htm" TargetMode="External"/><Relationship Id="rId118" Type="http://schemas.openxmlformats.org/officeDocument/2006/relationships/hyperlink" Target="http://www.sec.gov/Archives/edgar/data/1372299/000110465919052266/a19-19180_3ex3d2.htm" TargetMode="External"/><Relationship Id="rId119" Type="http://schemas.openxmlformats.org/officeDocument/2006/relationships/hyperlink" Target="http://www.sec.gov/Archives/edgar/data/1372299/000110465919052266/a19-19180_3ex3d3.htm" TargetMode="External"/><Relationship Id="rId120" Type="http://schemas.openxmlformats.org/officeDocument/2006/relationships/hyperlink" Target="http://www.sec.gov/Archives/edgar/data/1372299/000110465919052266/a19-19180_3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2019-12-28T01:52:57Z</dcterms:created>
  <dcterms:modified xsi:type="dcterms:W3CDTF">2019-12-28T01:52:57Z</dcterms:modified>
</cp:coreProperties>
</file>