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 </w:t>
      </w:r>
    </w:p>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 (d)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 </w:t>
      </w:r>
      <w:r>
        <w:rPr>
          <w:rFonts w:ascii="Times New Roman;serif" w:hAnsi="Times New Roman;serif"/>
          <w:b/>
          <w:color w:val="000000"/>
          <w:sz w:val="20"/>
        </w:rPr>
        <w:t>September 21,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OCUGEN,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w:t>
      </w:r>
    </w:p>
    <w:p>
      <w:pPr>
        <w:pStyle w:val="TextBody"/>
        <w:bidi w:val="0"/>
        <w:spacing w:lineRule="auto" w:line="288" w:before="0" w:after="0"/>
        <w:jc w:val="left"/>
        <w:rPr>
          <w:color w:val="000000"/>
        </w:rPr>
      </w:pPr>
      <w:r>
        <w:rPr>
          <w:color w:val="000000"/>
        </w:rPr>
        <w:t> </w:t>
      </w:r>
    </w:p>
    <w:tbl>
      <w:tblPr>
        <w:tblW w:w="6442" w:type="dxa"/>
        <w:jc w:val="left"/>
        <w:tblInd w:w="0" w:type="dxa"/>
        <w:tblLayout w:type="fixed"/>
        <w:tblCellMar>
          <w:top w:w="28" w:type="dxa"/>
          <w:left w:w="28" w:type="dxa"/>
          <w:bottom w:w="28" w:type="dxa"/>
          <w:right w:w="28" w:type="dxa"/>
        </w:tblCellMar>
      </w:tblPr>
      <w:tblGrid>
        <w:gridCol w:w="922"/>
        <w:gridCol w:w="810"/>
        <w:gridCol w:w="818"/>
        <w:gridCol w:w="109"/>
        <w:gridCol w:w="109"/>
        <w:gridCol w:w="109"/>
        <w:gridCol w:w="408"/>
        <w:gridCol w:w="408"/>
        <w:gridCol w:w="413"/>
        <w:gridCol w:w="109"/>
        <w:gridCol w:w="109"/>
        <w:gridCol w:w="109"/>
        <w:gridCol w:w="586"/>
        <w:gridCol w:w="586"/>
        <w:gridCol w:w="837"/>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001-36751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04-3522315</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Number)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 Great Valley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Malvern, Pennsylvania 19355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(484) 328-4701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principal executive office)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100" w:after="200"/>
        <w:ind w:left="0" w:right="0" w:hanging="3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667" w:type="dxa"/>
        <w:jc w:val="center"/>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21, 2026, Ocugen, Inc. (the “Company”) held a Special Meeting of Stockholders (the “Special Meeting”) virtually, which was adjourned to October 5, 2026 solely with respect to the proposal to approve the adoption of an amendment to the Company’s Sixth Amended and Restated Certificate of Incorporation, as amended, to increase the number of authorized shares of common stock, par value $0.01 per share (“Common Stock”), by 250,000,000 shares (“Proposal 1”). A total of 160,214,431 shares of the Company’s Common Stock, or 47.3% of the Common Stock outstanding as of the close of business on July 27, 2026, the record date for the Special Meeting, were represented virtually or by proxy at the Special Meeting, which constituted a quorum to conduct business at the Special Meeting.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following is a tabulation of the votes with respect to the proposal to approve an adjournment of the Special Meeting, if necessary or appropriate, to solicit additional proxies if there are insufficient votes at the time of the Special Meeting to approve Proposal 1 (“Proposal 2”).</w:t>
      </w:r>
      <w:r>
        <w:rPr>
          <w:color w:val="000000"/>
        </w:rPr>
        <w:t xml:space="preserve"> </w:t>
      </w:r>
      <w:r>
        <w:rPr>
          <w:rFonts w:ascii="Times New Roman;serif" w:hAnsi="Times New Roman;serif"/>
          <w:b w:val="false"/>
          <w:color w:val="000000"/>
          <w:sz w:val="20"/>
        </w:rPr>
        <w:t>Proposal 2 was approved by the Company’s stockholders at the Special Meeting as follows:</w:t>
      </w:r>
    </w:p>
    <w:p>
      <w:pPr>
        <w:pStyle w:val="TextBody"/>
        <w:bidi w:val="0"/>
        <w:spacing w:before="0" w:after="0"/>
        <w:jc w:val="both"/>
        <w:rPr/>
      </w:pPr>
      <w:r>
        <w:rPr/>
      </w:r>
    </w:p>
    <w:p>
      <w:pPr>
        <w:pStyle w:val="TextBody"/>
        <w:bidi w:val="0"/>
        <w:spacing w:before="0" w:after="0"/>
        <w:jc w:val="left"/>
        <w:rPr/>
      </w:pPr>
      <w:r>
        <w:rPr/>
      </w:r>
    </w:p>
    <w:tbl>
      <w:tblPr>
        <w:tblW w:w="3541" w:type="dxa"/>
        <w:jc w:val="center"/>
        <w:tblInd w:w="0" w:type="dxa"/>
        <w:tblLayout w:type="fixed"/>
        <w:tblCellMar>
          <w:top w:w="28" w:type="dxa"/>
          <w:left w:w="28" w:type="dxa"/>
          <w:bottom w:w="28" w:type="dxa"/>
          <w:right w:w="28" w:type="dxa"/>
        </w:tblCellMar>
      </w:tblPr>
      <w:tblGrid>
        <w:gridCol w:w="418"/>
        <w:gridCol w:w="366"/>
        <w:gridCol w:w="372"/>
        <w:gridCol w:w="419"/>
        <w:gridCol w:w="419"/>
        <w:gridCol w:w="421"/>
        <w:gridCol w:w="329"/>
        <w:gridCol w:w="329"/>
        <w:gridCol w:w="468"/>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1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124,584,658</w:t>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33,639,820</w:t>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1,989,953</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Special Meeting was adjourned, solely with respect to Proposal 1, in order to provide additional time for stockholders to consider and vote on Proposal 1 (the “Adjourned Meeting”). The Adjourned Meeting will be held on October 5, 2026, at 8:00 a.m., Eastern Time, virtually at www.virtualshareholdermeeting.com/OCGN2026SM.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close of business on July 27, 2026 will continue to be the record date for the determination of stockholders of the Company entitled to vote at the Adjourned Meeting. Stockholders of the Company who have previously submitted their proxy or otherwise voted and who do not want to change their vote on Proposal 1 do not need to take any action.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7718"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293"/>
        <w:gridCol w:w="293"/>
        <w:gridCol w:w="293"/>
        <w:gridCol w:w="1226"/>
        <w:gridCol w:w="1226"/>
        <w:gridCol w:w="176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OCUGEN,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22,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09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Shankar Musunuri</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4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Shankar Musunuri</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42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&amp; Co-Founder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3917</Characters>
  <CharactersWithSpaces>4603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