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001-36751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Histogenics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700" w:type="dxa"/>
        <w:tblCellMar>
          <w:top w:w="0" w:type="dxa"/>
          <w:left w:w="0" w:type="dxa"/>
          <w:bottom w:w="0" w:type="dxa"/>
          <w:right w:w="0" w:type="dxa"/>
        </w:tblCellMar>
      </w:tblPr>
      <w:tr>
        <w:trPr>
          <w:trHeight w:val="214"/>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04-3522315</w:t>
            </w:r>
          </w:p>
        </w:tc>
      </w:tr>
      <w:tr>
        <w:trPr>
          <w:trHeight w:val="149"/>
        </w:trPr>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40" w:type="dxa"/>
            <w:vAlign w:val="bottom"/>
          </w:tcPr>
          <w:p>
            <w:pPr>
              <w:jc w:val="center"/>
              <w:ind w:left="39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40" w:type="dxa"/>
            <w:vAlign w:val="bottom"/>
          </w:tcPr>
          <w:p>
            <w:pPr>
              <w:jc w:val="center"/>
              <w:ind w:left="39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830 Winter Street, 3rd Floor</w:t>
            </w:r>
          </w:p>
        </w:tc>
        <w:tc>
          <w:tcPr>
            <w:tcW w:w="5140" w:type="dxa"/>
            <w:vAlign w:val="bottom"/>
          </w:tcPr>
          <w:p>
            <w:pPr>
              <w:spacing w:after="0"/>
              <w:rPr>
                <w:sz w:val="24"/>
                <w:szCs w:val="24"/>
                <w:color w:val="auto"/>
              </w:rPr>
            </w:pPr>
          </w:p>
        </w:tc>
      </w:tr>
      <w:tr>
        <w:trPr>
          <w:trHeight w:val="22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Waltham, Massachusetts</w:t>
            </w:r>
          </w:p>
        </w:tc>
        <w:tc>
          <w:tcPr>
            <w:tcW w:w="51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40" w:type="dxa"/>
            <w:vAlign w:val="bottom"/>
          </w:tcPr>
          <w:p>
            <w:pPr>
              <w:jc w:val="center"/>
              <w:ind w:left="39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38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9"/>
              </w:rPr>
              <w:t>(781) 547-7900</w:t>
            </w:r>
          </w:p>
        </w:tc>
      </w:tr>
      <w:tr>
        <w:trPr>
          <w:trHeight w:val="190"/>
        </w:trPr>
        <w:tc>
          <w:tcPr>
            <w:tcW w:w="2380" w:type="dxa"/>
            <w:vAlign w:val="bottom"/>
          </w:tcPr>
          <w:p>
            <w:pPr>
              <w:spacing w:after="0"/>
              <w:rPr>
                <w:sz w:val="16"/>
                <w:szCs w:val="16"/>
                <w:color w:val="auto"/>
              </w:rPr>
            </w:pPr>
          </w:p>
        </w:tc>
        <w:tc>
          <w:tcPr>
            <w:tcW w:w="51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90"/>
        </w:trPr>
        <w:tc>
          <w:tcPr>
            <w:tcW w:w="238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7520" w:type="dxa"/>
            <w:vAlign w:val="bottom"/>
            <w:gridSpan w:val="2"/>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22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540" w:space="380"/>
            <w:col w:w="160" w:space="100"/>
            <w:col w:w="5960" w:space="720"/>
            <w:col w:w="1980" w:space="420"/>
            <w:col w:w="160"/>
          </w:cols>
          <w:pgMar w:left="240" w:top="226"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5">
            <w:col w:w="8180" w:space="160"/>
            <w:col w:w="280" w:space="80"/>
            <w:col w:w="160" w:space="180"/>
            <w:col w:w="220" w:space="100"/>
            <w:col w:w="2060"/>
          </w:cols>
          <w:pgMar w:left="240" w:top="226"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10, 2015, there were 13,273,470 outstanding shares of the registrant’s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0" w:type="dxa"/>
            <w:vAlign w:val="bottom"/>
            <w:gridSpan w:val="2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920" w:type="dxa"/>
            <w:vAlign w:val="bottom"/>
          </w:tcPr>
          <w:p>
            <w:pPr>
              <w:spacing w:after="0"/>
              <w:rPr>
                <w:sz w:val="17"/>
                <w:szCs w:val="17"/>
                <w:color w:val="auto"/>
              </w:rPr>
            </w:pPr>
          </w:p>
        </w:tc>
      </w:tr>
      <w:tr>
        <w:trPr>
          <w:trHeight w:val="511"/>
        </w:trPr>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4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HISTOGENICS CORPORATION</w:t>
            </w:r>
          </w:p>
        </w:tc>
        <w:tc>
          <w:tcPr>
            <w:tcW w:w="9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40" w:type="dxa"/>
            <w:vAlign w:val="bottom"/>
            <w:gridSpan w:val="10"/>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92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20" w:type="dxa"/>
            <w:vAlign w:val="bottom"/>
            <w:gridSpan w:val="13"/>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SEPTEMBER 30, 2015</w:t>
            </w:r>
          </w:p>
        </w:tc>
        <w:tc>
          <w:tcPr>
            <w:tcW w:w="920" w:type="dxa"/>
            <w:vAlign w:val="bottom"/>
          </w:tcPr>
          <w:p>
            <w:pPr>
              <w:spacing w:after="0"/>
              <w:rPr>
                <w:sz w:val="20"/>
                <w:szCs w:val="20"/>
                <w:color w:val="auto"/>
              </w:rPr>
            </w:pPr>
          </w:p>
        </w:tc>
      </w:tr>
      <w:tr>
        <w:trPr>
          <w:trHeight w:val="419"/>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40" w:type="dxa"/>
            <w:vAlign w:val="bottom"/>
            <w:gridSpan w:val="10"/>
          </w:tcPr>
          <w:p>
            <w:pPr>
              <w:ind w:left="600"/>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I—FINANCIAL INFORMATION</w:t>
              </w:r>
            </w:hyperlink>
          </w:p>
        </w:tc>
        <w:tc>
          <w:tcPr>
            <w:tcW w:w="920" w:type="dxa"/>
            <w:vAlign w:val="bottom"/>
          </w:tcPr>
          <w:p>
            <w:pPr>
              <w:spacing w:after="0"/>
              <w:rPr>
                <w:sz w:val="24"/>
                <w:szCs w:val="24"/>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Financial Statements (Unaudited)</w:t>
              </w:r>
            </w:hyperlink>
          </w:p>
        </w:tc>
        <w:tc>
          <w:tcPr>
            <w:tcW w:w="1040" w:type="dxa"/>
            <w:vAlign w:val="bottom"/>
            <w:gridSpan w:val="2"/>
          </w:tcPr>
          <w:p>
            <w:pPr>
              <w:spacing w:after="0"/>
              <w:rPr>
                <w:sz w:val="17"/>
                <w:szCs w:val="17"/>
                <w:color w:val="auto"/>
              </w:rPr>
            </w:pPr>
          </w:p>
        </w:tc>
        <w:tc>
          <w:tcPr>
            <w:tcW w:w="3160" w:type="dxa"/>
            <w:vAlign w:val="bottom"/>
            <w:tcBorders>
              <w:top w:val="single" w:sz="8" w:color="0000EE"/>
            </w:tcBorders>
            <w:gridSpan w:val="4"/>
          </w:tcPr>
          <w:p>
            <w:pPr>
              <w:spacing w:after="0"/>
              <w:rPr>
                <w:sz w:val="17"/>
                <w:szCs w:val="17"/>
                <w:color w:val="auto"/>
              </w:rPr>
            </w:pPr>
          </w:p>
        </w:tc>
        <w:tc>
          <w:tcPr>
            <w:tcW w:w="288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as of September 30, 2015 and December 31, 2014</w:t>
              </w:r>
            </w:hyperlink>
          </w:p>
        </w:tc>
        <w:tc>
          <w:tcPr>
            <w:tcW w:w="274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for the Three and Nine months ended September 30, 2015 and 2014</w:t>
              </w:r>
            </w:hyperlink>
          </w:p>
        </w:tc>
        <w:tc>
          <w:tcPr>
            <w:tcW w:w="7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Nine months ended September 30, 2015 and 2014</w:t>
              </w:r>
            </w:hyperlink>
          </w:p>
        </w:tc>
        <w:tc>
          <w:tcPr>
            <w:tcW w:w="144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5320" w:type="dxa"/>
            <w:vAlign w:val="bottom"/>
            <w:gridSpan w:val="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30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80" w:type="dxa"/>
            <w:vAlign w:val="bottom"/>
          </w:tcPr>
          <w:p>
            <w:pPr>
              <w:spacing w:after="0"/>
              <w:rPr>
                <w:sz w:val="24"/>
                <w:szCs w:val="24"/>
                <w:color w:val="auto"/>
              </w:rPr>
            </w:pP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8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8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Quantitative and Qualitative Disclosures About Market Risk</w:t>
              </w:r>
            </w:hyperlink>
          </w:p>
        </w:tc>
        <w:tc>
          <w:tcPr>
            <w:tcW w:w="496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Controls and Procedures</w:t>
              </w:r>
            </w:hyperlink>
          </w:p>
        </w:tc>
        <w:tc>
          <w:tcPr>
            <w:tcW w:w="772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EE"/>
            </w:tcBorders>
            <w:gridSpan w:val="11"/>
          </w:tcPr>
          <w:p>
            <w:pPr>
              <w:spacing w:after="0"/>
              <w:rPr>
                <w:rFonts w:ascii="Times New Roman" w:cs="Times New Roman" w:eastAsia="Times New Roman" w:hAnsi="Times New Roman"/>
                <w:sz w:val="18"/>
                <w:szCs w:val="18"/>
                <w:b w:val="1"/>
                <w:bCs w:val="1"/>
                <w:color w:val="0000EE"/>
                <w:w w:val="98"/>
              </w:rPr>
            </w:pPr>
            <w:hyperlink w:anchor="page25">
              <w:r>
                <w:rPr>
                  <w:rFonts w:ascii="Times New Roman" w:cs="Times New Roman" w:eastAsia="Times New Roman" w:hAnsi="Times New Roman"/>
                  <w:sz w:val="18"/>
                  <w:szCs w:val="18"/>
                  <w:b w:val="1"/>
                  <w:bCs w:val="1"/>
                  <w:color w:val="0000EE"/>
                  <w:w w:val="98"/>
                </w:rPr>
                <w:t>PART II—OTHER INFORMATION</w:t>
              </w:r>
            </w:hyperlink>
          </w:p>
        </w:tc>
        <w:tc>
          <w:tcPr>
            <w:tcW w:w="664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Legal Proceedings</w:t>
              </w:r>
            </w:hyperlink>
          </w:p>
        </w:tc>
        <w:tc>
          <w:tcPr>
            <w:tcW w:w="8160" w:type="dxa"/>
            <w:vAlign w:val="bottom"/>
            <w:gridSpan w:val="15"/>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21"/>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21"/>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Unregistered Sales of Equity Securities and Use of Proceeds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Defaults Upon Senior Securities</w:t>
              </w:r>
            </w:hyperlink>
          </w:p>
        </w:tc>
        <w:tc>
          <w:tcPr>
            <w:tcW w:w="516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Mine Safety Disclosures</w:t>
              </w:r>
            </w:hyperlink>
          </w:p>
        </w:tc>
        <w:tc>
          <w:tcPr>
            <w:tcW w:w="7180" w:type="dxa"/>
            <w:vAlign w:val="bottom"/>
            <w:gridSpan w:val="1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59">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774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21"/>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Exhibits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304"/>
        </w:trPr>
        <w:tc>
          <w:tcPr>
            <w:tcW w:w="900" w:type="dxa"/>
            <w:vAlign w:val="bottom"/>
            <w:gridSpan w:val="2"/>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85"/>
        </w:trPr>
        <w:tc>
          <w:tcPr>
            <w:tcW w:w="7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620" w:type="dxa"/>
            <w:vAlign w:val="bottom"/>
            <w:gridSpan w:val="16"/>
          </w:tcPr>
          <w:p>
            <w:pPr>
              <w:jc w:val="center"/>
              <w:ind w:left="291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future results of operations and financial position, strategy and plans, and our expectations for future operations, are forward-looking statements within the meaning of Section 27A of the Securities Act of 1933, as amended, and Section 21E of the Securities Exchange Act of 1934, as amended. The words “anticipate,” “believe,” “contemplates,” “continue,” “could,” “design,” “estimate,” “expect,” “intend,” “likely,” “may,” “ongoing,” “plan,” “potential,” “predict,” “project,” “will,” “would,” “seek,” “should,” “target,” or the negative version of these words and similar expressions are intended to identify forward-looking statements. These forward-looking statements include, but are not limited to, statements about:</w:t>
      </w:r>
    </w:p>
    <w:p>
      <w:pPr>
        <w:spacing w:after="0" w:line="95"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enrollment commencement and completion of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preclinical studies and clinical trials conducted by us and our development partners;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securities’ or industry analysts’ expectations regarding the timing and success of enrollment in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and expansion and costs of developing and commercializing our product candidates;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expenses and revenues, the sufficiency of our cash resources, our future profitability and needs for additional financing, and our ability to raise additional funds;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manufacturing location and partners;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manufacture our product candidates and the raw materials utilized therein;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regulatory approval of our product candidates and the labeling for any approved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and our regenerative medicine platform;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 candidates and the ability to serve those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reimbursement and market acceptance of any of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trends and challenges in our business and the market in which we operate;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development partnerships;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retain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operate our business in compliance with the covenants and restrictions that we are subject to under our loan and security agreement;</w:t>
      </w:r>
    </w:p>
    <w:p>
      <w:pPr>
        <w:spacing w:after="0" w:line="142"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the use of our cash and cash equivalents.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in the sections titled “Risk Factors” and “Management’s Discussion and Analysis of Financial Condition and Results of Operations” in this Quarterly Report on Form 10-Q and those described in the sections titled “Risk Factors” and “Management’s Discussion and Analysis of Financial Condition and Results of Operations” in our Annual Report on Form 10-K filed on March 27, 2015. Given these uncertainties, you should not place undue reliance on these forward-looking statements. We specifically disclaim any obligation to update these forward-looking statements in the future, except as required by law.</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HISTOGENICS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37,723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58,060</w:t>
            </w: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38,088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58,856</w:t>
            </w: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5,513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4,878</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 net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deferred tax assets, net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45,301</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4,886</w:t>
            </w: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2,449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1,683</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rent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lease incentive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equipment loan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6,690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8,251</w:t>
            </w: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 long-term</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lease incentive, long-term</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w:t>
            </w: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 loan, long-term</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9,125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11,293</w:t>
            </w: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5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$0.01 par value; authorized shares—10,000,000 at September 30, 2015 and December 31,</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2014; none issued and outstanding at September 30, 2015 and December 31, 2014</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85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shares—100,000,000 at September 30, 2015 and December 31,</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2014; 13,273,470 shares issued and outstanding at September 30, 2015 and 12,755,012 shares issued and</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193,260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187,620</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(157,216)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(133,541)</w:t>
            </w:r>
          </w:p>
        </w:tc>
      </w:tr>
      <w:tr>
        <w:trPr>
          <w:trHeight w:val="23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45,301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65,499</w:t>
            </w: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HISTOGENICS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4,843</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fair value of warrant liability, other liability and net sales distribution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payment liability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(23,713)</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attributable to common stockholders—basic and diluted</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(23,675</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share—basic and diluted: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earnings per common share—basic and diluted:</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13,238,997</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617,860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13,218,765</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598,684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HISTOGENICS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$(23,675)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(23,713)</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rent and lease incentive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consideration for licensed technology</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liabilities</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(2,435)</w:t>
            </w: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non-current assets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w:t>
            </w:r>
          </w:p>
        </w:tc>
      </w:tr>
      <w:tr>
        <w:trPr>
          <w:trHeight w:val="223"/>
        </w:trPr>
        <w:tc>
          <w:tcPr>
            <w:tcW w:w="20" w:type="dxa"/>
            <w:vAlign w:val="bottom"/>
          </w:tcPr>
          <w:p>
            <w:pPr>
              <w:spacing w:after="0"/>
              <w:rPr>
                <w:sz w:val="19"/>
                <w:szCs w:val="19"/>
                <w:color w:val="auto"/>
              </w:rPr>
            </w:pPr>
          </w:p>
        </w:tc>
        <w:tc>
          <w:tcPr>
            <w:tcW w:w="9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(13,260)</w:t>
            </w:r>
          </w:p>
        </w:tc>
      </w:tr>
      <w:tr>
        <w:trPr>
          <w:trHeight w:val="223"/>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(1,577)</w:t>
            </w:r>
          </w:p>
        </w:tc>
      </w:tr>
      <w:tr>
        <w:trPr>
          <w:trHeight w:val="230"/>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overallotment, net of issuance costs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4,738</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under equipment term loan</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on equipment term loan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Series A-1 preferred stock, net of cash issuance costs of $73</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10,314</w:t>
            </w: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associated with Initial Public Offering</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(1,443)</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(5,476)</w:t>
            </w: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58,060</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$ 37,723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3,258</w:t>
            </w: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HISTOGENICS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ind w:right="928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Organization</w:t>
      </w:r>
    </w:p>
    <w:p>
      <w:pPr>
        <w:ind w:right="120"/>
        <w:spacing w:after="0" w:line="258" w:lineRule="auto"/>
        <w:rPr>
          <w:sz w:val="20"/>
          <w:szCs w:val="20"/>
          <w:color w:val="auto"/>
        </w:rPr>
      </w:pPr>
      <w:r>
        <w:rPr>
          <w:rFonts w:ascii="Times New Roman" w:cs="Times New Roman" w:eastAsia="Times New Roman" w:hAnsi="Times New Roman"/>
          <w:sz w:val="18"/>
          <w:szCs w:val="18"/>
          <w:color w:val="auto"/>
        </w:rPr>
        <w:t>Histogenics Corporation (the “Company”) is a Delaware corporation and has its principal operations in Waltham, Massachusetts. The Company is a regenerative medicine company engaged in developing and commercializing products in the musculoskeletal segment of the marketplace. The Company is developing technology and products to treat cartilage damage, including NeoCart for the repair of cartilage lesions. NeoCart is currently in a Phase 3 clinical trial in the United States under a special protocol assessment with the U.S. Food and Drug Administration (“FDA”) for the treatment of knee cartilage damage.</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efforts to product development, recruiting management and technical staff, raising capital, starting up production and building infrastructure and has not generated revenues from its planned principal operations. Expenses have primarily been for research and development and administrative costs.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Principal among these risks are: the successful development of its products, successfully enrolling patients in its clinical trials in a timely manner, protection of its intellectual property, obtaining FDA approval for its products and maintaining ongoing compliance with government regulations, the ability to obtain adequate financing, fluctuations in operating results, dependence on key personnel and collaborative partners, adoption of the Company’s products by the physician community, rapid technological changes inherent in the markets targeted, and substitute products and competition from larger companies.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December 8, 2014, the Company closed its initial public offering (“IPO”) whereby the Company sold 5,909,091 shares of common stock at a price of $11.00 per share for gross proceeds of $65,000. The shares began trading on The Nasdaq Global Market on December 3, 2014. On January 6, 2015, an additional 465,000 shares of common stock were sold at the IPO price of $11.00 per share following the underwriters’ exercise in part of their overallotment option for gross proceeds of $5,115. Gross proceeds from the offering, inclusive of the overallotment, were $70,115. After giving effect to underwriting discounts and commissions and offering expenses payable by the Company, net proceeds were $61,277. In addition, each of the following occurred in connection with the completion of the IPO on December 8, 2014:</w:t>
      </w:r>
    </w:p>
    <w:p>
      <w:pPr>
        <w:spacing w:after="0" w:line="93" w:lineRule="exact"/>
        <w:rPr>
          <w:sz w:val="20"/>
          <w:szCs w:val="20"/>
          <w:color w:val="auto"/>
        </w:rPr>
      </w:pPr>
    </w:p>
    <w:p>
      <w:pPr>
        <w:ind w:left="900" w:right="4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the Company’s convertible redeemable preferred stock and accrued dividends into 5,158,407 shares of common stock;</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$11,100 in convertible notes payable and accrued interest into 1,009,115 shares of common stock;</w:t>
      </w:r>
    </w:p>
    <w:p>
      <w:pPr>
        <w:spacing w:after="0" w:line="130"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exercise of certain warrants into 44,531 shares of common stock and the surrender of 5,839 warrant shares to satisfy the contingent payment payable to Purpose Co., Ltd. (“Other Liability”), resulting in the settlement of the related warrant liability and Other Liability upon the closing of the IPO of $490 and $612, respectively, to additional paid-in capital;</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redemption provision of the net sales distribution payment;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to issue 100,000,000 shares of common stock and 10,000,000 shares of preferred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are unaudited and have been prepared in conformity with accounting principles generally accepted in the United States of America (“U.S. GAAP”) for interim financial reporting. Accordingly, they do not include all of the information and footnotes required by GAAP for complete financial statements. These interim condensed consolidated financial statements, in the opinion of the Company’s management, reflect all normal recurring adjustments necessary for a fair presentation of the Company’s financial position and results of operations for the interim periods ended September 30, 2015 and 2014. The results of operations for the interim periods are not necessarily indicative of the results of operations to be expected for the full year. These interim financial statements should be read in conjunction with the audited financial statements as of and for the year ended December 31, 2014, and the notes thereto, which are included in the Company’s Annual Report on Form 10-K filed with the Securities and Exchange Commission (the “SEC”) on March 27, 2015.</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Histogenics Corporation and its wholly-owned subsidiaries, ProChon Biotech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(“ProChon”) and Histogenics Securities Corporation. All intercompany accounts and transactions are eliminated in consolidation.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described in the Company’s audited financial statements as of and for the year ended December 31, 2014, and the notes thereto, which are included in the Annual Report on Form 10-K, have had no material changes during the nine months ended September 30, 2015, except as noted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has reclassified certain prior period amounts to conform to the current period presentation. The amounts reclassified impact research and development expenses and general and administrative expenses for the three months and nine months ended September 30,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the Company’s operations in different geographic regions is presented in the tables below:</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7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Long-lived 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Israel</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long-lived assets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financial statements for cash and cash equivalents, accounts payable and accrued liabilities approximate their respective fair values because of the short-term nature of these accounts.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basis for determining the fair value of certain of the Company’s financial instruments, the Company utilizes a three-tier value hierarchy, which prioritizes the inputs used in measuring fair value as follows:</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Unadjusted quoted prices in active markets that are accessible at the measurement date of identical, unrestricted assets.</w:t>
      </w:r>
    </w:p>
    <w:p>
      <w:pPr>
        <w:spacing w:after="0" w:line="117" w:lineRule="exact"/>
        <w:rPr>
          <w:sz w:val="20"/>
          <w:szCs w:val="20"/>
          <w:color w:val="auto"/>
        </w:rPr>
      </w:pPr>
    </w:p>
    <w:p>
      <w:pPr>
        <w:jc w:val="both"/>
        <w:ind w:left="460" w:right="100"/>
        <w:spacing w:after="0" w:line="315"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 Quoted prices for similar assets, or inputs that are observable, either directly or indirectly, for substantially the full term through corroboration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observable market data. Level 2 includes investments valued at quoted prices adjusted for legal or contractual restrictions specific to the security.</w:t>
      </w:r>
    </w:p>
    <w:p>
      <w:pPr>
        <w:spacing w:after="0" w:line="27" w:lineRule="exact"/>
        <w:rPr>
          <w:sz w:val="20"/>
          <w:szCs w:val="20"/>
          <w:color w:val="auto"/>
        </w:rPr>
      </w:pPr>
    </w:p>
    <w:p>
      <w:pPr>
        <w:ind w:left="460" w:right="440"/>
        <w:spacing w:after="0" w:line="261"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Pricing inputs are unobservable for the assets. Level 3 assets include private investments that are supported by little or no market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3 valuations are for instruments that are not traded in active markets or are subject to transfer restrictions and may be adjusted to reflect illiquidity and/or non-transferability, with such adjustment generally based on available market evidence. In the absence of such evidence, management’s best estimate is used.</w:t>
      </w:r>
    </w:p>
    <w:p>
      <w:pPr>
        <w:spacing w:after="0" w:line="1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had no assets or liabilities classified as Level 1 or Level 2 as of September 30, 2015 and December 31, 2014, other than the money market fund described in the “Cash and Cash Equivalents” section below, and there were no material re-measurements of fair value with respect to financial assets and liabilities during the periods presented, other than those assets and liabilities that are measured at fair value on a recurring basis. The Company had no assets or liabilities classified as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3 as of September 30, 2015 and December 31, 2014. Historically, the Company did have liabilities classified as Level 3 including a warrant liability, the “Other Liability” and the net sales distribution payment liability. These were all settled or terminated upon the closing of the IPO in December 2014.</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Transfers are calculated on values as of the transfer date. There were no transfers between Levels 1, 2 and 3 during the nine months ended September 30, 2015 and 2014.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liabilities classified as Level 3 that are measured by management at fair value on a quarterly basis as of September 30, 2015.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securities with original final maturities of three months or less from the date of purchase to be cash equivalents. As of September 30, 2015, cash and cash equivalents comprise cash deposits of $5,973 and money market funds of $31,750.</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money market funds are measured at fair value on a recurring basis based on quoted market prices.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Prices in</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4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60" w:type="dxa"/>
            <w:vAlign w:val="bottom"/>
            <w:gridSpan w:val="4"/>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3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46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84"/>
              </w:rPr>
              <w:t>September</w:t>
            </w:r>
          </w:p>
        </w:tc>
        <w:tc>
          <w:tcPr>
            <w:tcW w:w="2740" w:type="dxa"/>
            <w:vAlign w:val="bottom"/>
            <w:tcBorders>
              <w:top w:val="single" w:sz="8" w:color="CCEEFF"/>
            </w:tcBorders>
            <w:shd w:val="clear" w:color="auto" w:fill="CCEEFF"/>
          </w:tcPr>
          <w:p>
            <w:pPr>
              <w:jc w:val="right"/>
              <w:ind w:right="1870"/>
              <w:spacing w:after="0" w:line="196" w:lineRule="exact"/>
              <w:rPr>
                <w:sz w:val="20"/>
                <w:szCs w:val="20"/>
                <w:color w:val="auto"/>
              </w:rPr>
            </w:pPr>
            <w:r>
              <w:rPr>
                <w:rFonts w:ascii="Times New Roman" w:cs="Times New Roman" w:eastAsia="Times New Roman" w:hAnsi="Times New Roman"/>
                <w:sz w:val="18"/>
                <w:szCs w:val="18"/>
                <w:b w:val="1"/>
                <w:bCs w:val="1"/>
                <w:color w:val="auto"/>
              </w:rPr>
              <w:t>30, 2015</w:t>
            </w:r>
          </w:p>
        </w:tc>
        <w:tc>
          <w:tcPr>
            <w:tcW w:w="15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58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31,750</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$31,750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31,750</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820" w:type="dxa"/>
            <w:vAlign w:val="bottom"/>
            <w:gridSpan w:val="3"/>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49,750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49,750</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$49,750</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2015 and December 31, 2014, the Company’s intangible asset consists of acquired in-process research and development (“IPR&amp;D”).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2015 and 2014, the Company determined that there were no triggering events indicating impairment of its IPR&amp;D.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of accumulated impairment charges, are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2015</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4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0"/>
                <w:szCs w:val="10"/>
                <w:color w:val="auto"/>
              </w:rPr>
            </w:pPr>
          </w:p>
        </w:tc>
        <w:tc>
          <w:tcPr>
            <w:tcW w:w="12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IPR&amp;D</w:t>
            </w:r>
          </w:p>
        </w:tc>
        <w:tc>
          <w:tcPr>
            <w:tcW w:w="2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630</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630</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accounts for stock options and restricted stock based on their grant date fair value and recognizes compensation expense on a straight-line basis over their vesting period. The Company estimates the fair value of stock options as of the date of grant using the Black-Scholes option pricing model, with the exception of stock options that include a market condition, and of restricted stock based on the fair value of the underlying common stock as of the date of grant or the value of the services provided, whichever is more readily determinable. The expense is adjusted for actual forfeitures at year end. Stock-based compensation expense recognized in the condensed consolidated financial statements is based on awards that are ultimately expected to vest. Stock-based compensation expense is classified as research and development or general and administrative based on the grantee’s respective compensation classification.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stock option grants with vesting triggered by the achievement of performance-based milestones, the expense is recorded over the remaining service period after the point when the achievement of the milestone is probable or the performance condition has been achieved. For stock option grants with both performance-based milestones and market conditions, expense is recorded over the derived service period after the point when the achievement of the performance-based milestone is probable or the performance condition has been achieved. For stock option grants with market conditions, the expense is calculated using the Monte Carlo model based on the grant date fair value of the option and is recorded on a straight line basis over the requisite service period, which represents the derived service period and accelerated when the market condition is satisfied. The Company issued awards with market conditions during the three months ended September 30, 2015. The Company accounts for stock options and restricted stock awards to non-employees using the fair value approach. Stock options and restricted stock awards to non-employees are subject to periodic revaluation over their vesting terms.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auto"/>
        </w:rPr>
        <w:t>In May 2014, the FASB issued Accounting Standards Update No. 2014-09 (ASU 2014-09), Revenue from Contracts with Customers (Topic 606), which requires an entity to recognize the amount of revenue to which it expects to be entitled for the transfer of promised goods or services to customers. ASU</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2014-09 will replace most existing revenue recognition guidance in U.S. GAAP when it becomes effective. In July 2015, the FASB issued a one-year deferral of the effective date of the new revenue recognition standard. The new guidance will be effective for the Company’s first quarter of fiscal year 2018 and early application for fiscal year 2017 would be permitted. The Company’s adoption of this guidance is not expected to have a material impact on the consolidated financial statements.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June 2014, the FASB issued ASU No. 2014-12, Compensation—Stock Compensation (Topic 718): Accounting for Share-Based Payments When the Terms of an Award Provide That a Performance Target Could Be Achieved after the Requisite Service Period (ASU 2014-12). The amendments in ASU 2014-12 require that a performance target that affects vesting and that could be achieved after the requisite service period be treated as a performance condition. A reporting entity should apply existing guidance in ASC 718, as it relates to awards with performance conditions that affect vesting to account for such awards. The amendments in ASU 2014-12 are effective for annual periods and interim periods within those annual periods beginning after December 15, 2015. Early adoption is permitted. Entities may apply the amendments in ASU 2014-12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Company’s adoption of this guidance is not expected to have a material impact on the consolidated financial statements.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August 2014, the FASB issued ASU No. 2014-15, Presentation of Financial Statements—Going Concern (Subtopic 205-40): Disclosure of Uncertainties about an Entity’s Ability to Continue as a Going Concern (ASU 2014-15), which is intended to define management’s responsibility to evaluate whether there is substantial doubt about an organization’s ability to continue as a going concern and to provide related footnote disclosures. The accounting standards update provides guidance to an organization’s management, with principles and definitions that are intended to reduce diversity in the timing and content of disclosures that are commonly provided by organizations today in the financial statement footnotes. The amendments are effective for annual periods ending after December 15, 2016, and interim periods within annual periods beginning after December 15, 2016. Early adoption is permitted for annual or interim reporting periods for which the financial statements have not previously been issued. The Company does not intend to early adopt this standard. The Company does not anticipate that the adoption of this standard will have a material impact on the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COMMON SHARE</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computes basic and diluted loss per share using a methodology that gives effect to the impact of outstanding participating securities (the “two-class method”). As the three and nine month periods ended September 30, 2015 and 2014 resulted in net losses, there is no income allocation required under the two-class method or dilution attributed to the weighted-average shares outstanding in the calculation of diluted loss per share.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as they would be anti-dilutive (in common stock equivalent shares):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1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380" w:type="dxa"/>
            <w:vAlign w:val="bottom"/>
          </w:tcPr>
          <w:p>
            <w:pPr>
              <w:spacing w:after="0"/>
              <w:rPr>
                <w:sz w:val="15"/>
                <w:szCs w:val="15"/>
                <w:color w:val="auto"/>
              </w:rPr>
            </w:pPr>
          </w:p>
        </w:tc>
        <w:tc>
          <w:tcPr>
            <w:tcW w:w="21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3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redeemable preferred stock and dividends</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4,558,483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4,558,483</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options to purchase common stock</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1,233,494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553,982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1,233,494</w:t>
            </w: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553,982</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exercisable into common stock</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170,102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168,543</w:t>
            </w: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also had certain warrants and other liabilities outstanding as of September 30, 2014 which could have obligated the Company, its stockholders, or both to issue shares of common stock upon the occurrence of various future events at prices and in amounts that were not determinable until the occurrence of those future events. For the nine months ended September 30, 2014, these included the net sales distribution payment liability. Because the necessary conditions for the conversion or exercise of these instruments had not been satisfied as of September 30, 2014, the Company has excluded these instruments from the table above and the calculation of diluted net income per share for that period. There were no such instruments outstanding during the three months and nine months ended September 30, 2015.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12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(7,557)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(6,375)</w:t>
            </w: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amounted to $414 and $169 for the three months ended September 30, 2015 and 2014, respectively, and $1,182 and $482 for the nine months ended September 30, 2015 and 2014, respectively.</w:t>
      </w:r>
    </w:p>
    <w:p>
      <w:pPr>
        <w:spacing w:after="0" w:line="266" w:lineRule="exact"/>
        <w:rPr>
          <w:sz w:val="20"/>
          <w:szCs w:val="20"/>
          <w:color w:val="auto"/>
        </w:rPr>
      </w:pPr>
    </w:p>
    <w:p>
      <w:pPr>
        <w:ind w:right="7760" w:firstLine="8"/>
        <w:spacing w:after="0" w:line="378"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Operating Leases</w:t>
      </w: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leases its office and research facilities in Waltham and Lexington, Massachusetts under non-cancellable operating leases that expire at various dates through year 2023. Terms of the agreements generally provide for an initial rent-free period and future rent escalation, and provide that in addition to minimum lease rental payments, the Company is responsible for a pro-rata share of common area operating expenses. The Company’s wholly-owned subsidiary, ProChon, also leases facilities in Woburn, Massachusetts and Israel.</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Rent expense under operating lease agreements amounted to approximately $266 and $275 for the three months ended September 30, 2015 and 2014, respectively, and $857 and $608 for the nine months ended September 30, 2015 and 2014, respectively. In addition, the Company maintained a stand-by letter of credit in connection with the Lexington facility lease of $137 at September 30, 2015 and December 31, 2014. This amount is classified as restricted cash in the condensed consolidated balance sheets.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As an inducement to enter into its Waltham facility lease, the lessor agreed to provide the Company with a construction allowance of up to $3,184 towards the total cost of tenant improvements. The Company has recorded these costs in the condensed consolidated balance sheet as leasehold improvements, with the corresponding liability as deferred lease incentive. This liability is amortized on a straight-line basis over the term of the lease as a reduction of rent expense.</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an inducement to enter into its Lexington facility lease, the lessor agreed to provide the Company with a construction allowance of up to $996 towards the total cost of tenant improvements. The tenant improvement is recorded within leasehold improvements and included as a deferred lease incentive liability in the condensed consolidated balance sheet. Rent expense is recognized on a straight-line basis over the term of the lease and is reduced by the construction allowance.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time to time, the Company enters into various licensing agreements whereby the Company may use certain technologies in conjunction with its product research and development.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Licensing agreements and the Company’s commitments under the agreements are as follows: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Hydrogel License</w:t>
      </w:r>
    </w:p>
    <w:p>
      <w:pPr>
        <w:spacing w:after="0" w:line="11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May 2005, the Company entered into an exclusive license agreement with Angiotech Pharmaceuticals (US), Inc. for the use of certain patents, patent application, and knowledge related to the manufacture and use of a hydrogel material in conjunction with NeoCart and certain other products (“Hydrogel License Agreement”). As of September 30, 2015, the Company has paid an aggregate $3,200 in commercialization milestones under the terms of the Hydrogel License Agreement, which have been expensed to research and development.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Hydrogel License Agreement, the Company’s future commitments include:</w:t>
      </w:r>
    </w:p>
    <w:p>
      <w:pPr>
        <w:spacing w:after="0" w:line="131"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$3,000 payment upon approval of an eligible product by the FDA;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digit royalties on the net sales of NeoCart and certain other future products.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Tissue Regeneration License</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April 2001, the Company entered into an exclusive license agreement with The Board of Trustees of the Leland Stanford Junior University (“Stanford University”) for the use of certain technology to develop, manufacture and sell licensed products in the field of growth and regeneration of cartilage (“Tissue Regeneration License Agreement”). The term of the Tissue Regeneration License Agreement extends to the expiration date of Stanford University’s last to expire domestic or foreign patents. As of September 30, 2015, the Company has paid an aggregate $642 in patent reimbursement costs, royalty fees, and commercialization milestone payments under the terms of the Tissue Regeneration License Agreement, which have been recorded to research and development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Tissue Regeneration License Agreement, the Company’s future commitments include:</w:t>
      </w:r>
    </w:p>
    <w:p>
      <w:pPr>
        <w:spacing w:after="0" w:line="131"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$300 payment upon approval of an eligible product by the FDA;</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minimum non-refundable royalty fee of $10 for the life of the license that may be used to offset up to 50% of each earned royalty described below;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single digit royalties on net sales.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Honeycomb License</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March 2013, the Company entered into a license agreement with Koken Co., Ltd. (“Koken”) and paid a fee for a non-exclusive, non-transferable and non-sublicensable right to use its know-how related to the process for manufacturing atelocollagen honeycomb sponge materials, which is used in scaffolds (the “Honeycomb License Agreement”). Under the terms of the Honeycomb License Agreement, future commitments will be based on the amount of materials supplied to the Company and may vary from period to period over the term of the agreement.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Plasmid License</w:t>
      </w:r>
    </w:p>
    <w:p>
      <w:pPr>
        <w:spacing w:after="0" w:line="1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January 2008, the Company entered into an exclusive license agreement with Yeda Research and Development Co., Ltd. (“Yeda”) for rights relating to high level expression of heterologous proteins and plasmid p80 BS (the “Plasmid License Agreement”), which rights are jointly owned by Yeda and the Company. Under the terms of the Plasmid License Agreement, the Company was granted an exclusive worldwide license to manufacture, use and sell heterologous proteins and plasmid p80 BS.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required to pay Yeda a yearly, non-refundable license fee of $2, which is creditable against royalties payable by the Company to Yeda during the one-year period in which such fee was paid. Yeda is also entitled to low single digit royalties on net sales of the licensed products and on net sales for combination products (meaning the combination of the licensed product with at least one other active ingredient, material or medical device that would have a clinical effect if administered independently) and a low double digit percentage of all of the Company’s sublicensing receipts.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Tissue Processor Sub-License</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2005, the Company entered into an exclusive agreement to sub-license certain technology from Purpose, Co. (“Purpose”), which is owned by a stockholder of the Company (“Sub-License Agreement”). Purpose entered into the original license agreement (“Original Agreement”) with Brigham and Women’s Hospital, Inc. (“Brigham and Women’s”) in August 2001. The Original Agreement shall remain in effect for the licensed patents owned by Brigham and Women’s unless extended or terminated as provided for in the agreement. The technology is to be used to develop, manufacture, use and sell licensed products that cultivate cell or tissue development. The Sub-License Agreement extends to the expiration date of the last to expire domestic or foreign patents covered by the agreement. As of September 30, 2015, the Company has paid an aggregate $941 over the term of the Sub-License Agreement in royalty and sub-license payments under the terms of the Sub-License Agreement, which was recorded to research and development expense in the condensed consolidated statements of operations.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Sub-License Agreement was amended and restated in June 2012. Under the amended and restated agreement, the Company made Purpose the sole supplier of equipment the Company uses in its manufacturing processes, and granted Purpose distribution rights of the Company’s products for certain territories. In exchange, Purpose allowed for the use of its technology (owned or licensed) and manufactured and serviced exogenous tissue processors by the Company. Under the terms of the agreement, as amended, Purpose granted the Company (a) exclusive rights to all of Purpose’s technology (owned or licensed) related to the exogenous tissue processors, (b) continued supply of exogenous tissue processors during the Company’s clinical trials, and (c) rights to manufacture the exogenous tissue processors at any location the Company chooses. In exchange for such consideration, the Company granted Purpose an exclusive license in Japan for the use of all of the Company’s technology and made a payment of $250 to reimburse Purpose for development costs on a next generation tissue processer.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the Company’s future commitments under the terms of the Original Agreement and Sub-License Agreement include:</w:t>
      </w:r>
    </w:p>
    <w:p>
      <w:pPr>
        <w:spacing w:after="0" w:line="131"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non-refundable annual royalty fee of $20, for the life of the license;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in potential milestone payments;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single digit royalties on net sales of a licensed product.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OCS Agreement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its research and development, the Company received grants from the Office of Chief Scientist of the Ministry of Industry and Trade in Israel (“OCS”) in the aggregate of $1,100 for funding the fibroblast growth factor (“FGF”) program. In consideration for this grant, the Company is committed to pay royalties at a rate of 3% to 5% of the sales of sponsored products developed using the grant money, up to the amount of the participation payments received. The Company committed to pay up to 100% of grants received plus interest according to the LIBOR interest rate if the sponsored product is produced in Israel. If the manufacturing of the sponsored product takes place outside of Israel, the royalties can increase up to, but no more than, 300% of grants received plus interest based on the LIBOR interest rate, depending on the percentage of the manufacturing of sponsored product that takes place outside of Israel.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Agreement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with a development corporation to purchase a multi-unit bioreactor system. Pursuant to the agreement, as of September 30, 2015, the Company has made payments of $377 with a remaining $190 due upon the Company’s acceptance of the system, which is expected in 2016.</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Collagen Supply Agreement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September 2015, the Company entered into an agreement with Collagen Solutions (UK) Limited (the “Supplier”) to purchase soluble collagen that meets specifications provided by the Company. The initial term of the agreement is three years and will automatically renew from year to year thereafter unless otherwise terminated with at least 180 days’ notice by either party. Pursuant to the agreement, starting 12 months after entering into the agreement, the Company will be required to order a minimum amount of material and/or services totaling $150 from the Supplier in each calendar year until the expiration of the initial term of the agreement. The Company is also committed to pay a non-refundable payment totaling $121 by the end of 2015. As of September 30, 2015, the Company has paid an aggregate $93 under the terms of the agreement. Payment of the remaining amount of $28 is expected to be paid in December 2015, which has been recorded to research and development expense as of September 30, 2015.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 Warrant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2015, in connection with a consulting agreement entered into for an interim chief financial officer, the Company issued a common stock warrant as compensation to the consulting firm. The warrant provides the holder with the right to purchase an aggregate of 7,398 shares of the Company’s common stock at a per share exercise price of $9.75, the closing price of the Company’s common stock on the date of issuance. The warrant vests and becomes exercisable in monthly installments over 24 months beginning March 31, 2015. The warrant expires on the tenth anniversary of issuance. The warrant is equity classified and accounted for using the fair value approach. The fair value of the warrant is estimated using the Black-Scholes option pricing model and is subject to re-measurement at each reporting period until the measurement date is reached.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is included in general and administrative expenses on a straight-line basis over the expected service period, which is the vesting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Affiliates of an Advisor Warrant</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Series A Preferred on July 20, 2012, the Company issued a warrant to purchase its common stock to affiliates of an advisor. The warrant provides the holders with the right to purchase an aggregate of 161,977 shares of the Company’s common stock at a per share exercise price of $0.01. The warrants are exercisable, in whole or in part, immediately and may be exercised on a cashless basis. The warrants expire on the tenth anniversary of issuance. The fair value of the warrants of $117 was estimated using the Black-Scholes option pricing model and was recorded as a reduction to Series A Preferred and a credit to additional paid-in capital. On December 8, 2014, the Company completed its IPO and warrants for 5,839 shares of common stock were surrendered to partially settle the Other Liability and common stock was issued by the Company to Purpose for the warrant shares surrendered. As of September 30, 2015 and December 31, 2014, warrants to purchase an aggregate of 156,138 shares of the Company’s common stock at an exercise price of $0.01 are outstanding.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Line of Credit Warrant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9, 2014, the Company entered into a loan and security agreement with Silicon Valley Bank, which provides for a line of credit to purchase equipment. The amount of the line of credit is up to an aggregate of $1,750 with an annual interest rate of 2.75% plus the greater of 3.25% and the prime rate at the date of each draw, and is payable in equal monthly installments over 36 months beginning six months after the funding date, which ranged from August 2014 to November 2014.</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loan and security agreement, the Company granted Silicon Valley Bank a warrant to purchase 6,566 shares of common stock at a per share exercise price of $7.99. The warrant is exercisable, in whole or in part, immediately and may be exercised on a cashless basis and expires on the tenth anniversary of issuance. The fair value of the warrant as of July 9, 2014 was estimated at $51 with the following inputs: (a) risk-free interest rate of 2.58%; (b) implied volatility of the Company’s common stock of 87%; (c) the expected term of 10 years. The fair value of the warrant was recorded as a debt issuance cost with a corresponding credit to additional paid-in capital.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Stock option activity under the Company’s 2012 Equity Incentive Plan (the “2012 Plan”) and 2013 Equity Incentive Plan (the “2013 Plan”) for the nine months ended September 30, 2015 is summarized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1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537,683</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863,722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(53,458)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(121,057)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2015</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1,226,890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7.51</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2015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1,131,524</w:t>
            </w: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20" w:type="dxa"/>
            <w:vAlign w:val="bottom"/>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9.2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2015</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290,014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4.41</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2015, the unrecognized compensation cost related to outstanding options was $4,438 and is expected to be recognized as expense over approximately 2.87 years. As of September 30, 2015, the weighted average grant date fair value of vested options was $3.67 and the weighted average grant date fair value of shares outstanding was $4.68.</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per share of employee option grants within the period was $3.22 and $7.29 for the three months ended September 30, 2015 and 2014, respectively, and $4.55 and $6.74 for the nine months ended September 30, 2015 and 2014,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awards under the 2012 Plan and 2013 Plan for the nine months ended September 30, 2015 are summarized as follows: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1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140" w:type="dxa"/>
            <w:vAlign w:val="bottom"/>
            <w:gridSpan w:val="3"/>
            <w:vMerge w:val="continue"/>
          </w:tcPr>
          <w:p>
            <w:pPr>
              <w:spacing w:after="0"/>
              <w:rPr>
                <w:sz w:val="12"/>
                <w:szCs w:val="12"/>
                <w:color w:val="auto"/>
              </w:rPr>
            </w:pPr>
          </w:p>
        </w:tc>
        <w:tc>
          <w:tcPr>
            <w:tcW w:w="1100" w:type="dxa"/>
            <w:vAlign w:val="bottom"/>
            <w:gridSpan w:val="4"/>
          </w:tcPr>
          <w:p>
            <w:pPr>
              <w:jc w:val="center"/>
              <w:ind w:left="1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5"/>
                <w:szCs w:val="15"/>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2014</w:t>
            </w:r>
          </w:p>
        </w:tc>
        <w:tc>
          <w:tcPr>
            <w:tcW w:w="2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2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(1,889)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2015</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2015, the unrecognized compensation cost related to restricted stock awards was $5 and is expected to be recognized as expense over approximately 1.36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granted stock options to employees for the three months ended September 30, 2015 and 2014. The Company estimates the fair value of stock options as of the date of grant using the Black-Scholes option pricing model and restricted stock based on the stock price, with the exception of those stock options that included a market condition. The Company estimates the fair value of stock options that include a market condition using the Monte-Carlo model. Stock options and restricted stock issued to non-board member, non-employees are accounted for using the fair value approach and are subject to periodic revaluation over their vesting terms.</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amounted to $362 and $168 for the three months ended September 30, 2015 and 2014, respectively, and $854 and $356 for the nine months ended September 30, 2015 and 2014, respectively.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240" w:top="455" w:right="3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stock-based compensation for all options granted and restricted stock awards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5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5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by award type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5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5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in the Black-Scholes option pricing model to determine the fair value of the employee stock option grants were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1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600" w:type="dxa"/>
            <w:vAlign w:val="bottom"/>
          </w:tcPr>
          <w:p>
            <w:pPr>
              <w:spacing w:after="0"/>
              <w:rPr>
                <w:sz w:val="15"/>
                <w:szCs w:val="15"/>
                <w:color w:val="auto"/>
              </w:rPr>
            </w:pPr>
          </w:p>
        </w:tc>
        <w:tc>
          <w:tcPr>
            <w:tcW w:w="216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6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1.73%</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1.78%</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60.1%</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104.4%</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6.08</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6.08</w:t>
            </w: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6.04</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6.08</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in the Black-Scholes option pricing model to determine the fair value of the non-employee stock option grants were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4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4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24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48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1.79%</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0.95%</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60.8%</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98.2%</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1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7.48</w:t>
            </w:r>
          </w:p>
        </w:tc>
        <w:tc>
          <w:tcPr>
            <w:tcW w:w="11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2.97</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5.81</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0.0%</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346"/>
        </w:trPr>
        <w:tc>
          <w:tcPr>
            <w:tcW w:w="3480" w:type="dxa"/>
            <w:vAlign w:val="bottom"/>
          </w:tcPr>
          <w:p>
            <w:pPr>
              <w:spacing w:after="0"/>
              <w:rPr>
                <w:sz w:val="24"/>
                <w:szCs w:val="24"/>
                <w:color w:val="auto"/>
              </w:rPr>
            </w:pPr>
          </w:p>
        </w:tc>
        <w:tc>
          <w:tcPr>
            <w:tcW w:w="30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00"/>
          </w:cols>
          <w:pgMar w:left="240" w:top="455" w:right="3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Due to the uncertainty surrounding the realization of the favorable tax attributes in future tax returns, the Company has recorded a full valuation allowance against the Company’s otherwise recognizable net deferred tax assets. The Company has allocated its valuation allowance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 which resulted in a non-current deferred tax asset of $1,053 and a current deferred tax liability of $1,053 as of September 30, 2015.</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40"/>
          </w:cols>
          <w:pgMar w:left="240" w:top="455" w:right="3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notes thereto included elsewhere in this Quarterly Report on Form 10-Q and with our audited financial statements included in our Annual Report on Form 10-K, filed with the SEC on March 27, 2015. Some of the information contained in this discussion and analysis, including information with respect to our plans and strategy for our business and related financing, includes forward-looking statements that involve risks, uncertainties and assumptions. You should read the “Risk Factors” and “Information Regarding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Histogenics Corporation (we, our or Histogenics) is a regenerative medicine company focused on developing and commercializing products in the musculoskeletal segment of the marketplace. Our first product candidate, NeoCart, is being investigated in a 245 patient Phase 3 clinical trial under a Special Protocol Assessment with the U.S. Food and Drug Administration (FDA). We expect to complete enrollment in the second quarter of 2017. NeoCart, an innovative tissue implant that utilizes various aspects of our regenerative medicine platform, is intended to treat tissue injury in the field of orthopedics, specifically cartilage damage in the knee. NeoCart is an investigational product and has not been approved for sale in any jurisdiction, including the United States. We have no other products that are approved for sale in the United States or in other jurisdictions.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regenerative medicine platform combines expertise in the following areas:</w:t>
      </w:r>
    </w:p>
    <w:p>
      <w:pPr>
        <w:spacing w:after="0" w:line="131"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therapy and processing: the handling of a tissue biopsy and the extraction, and isolation and expansion of the cells;</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Biomaterials and Scaffold: three-dimensional biomaterials structures that enable the proper distribution of cells and organize cells in their natural environment to support tissue formation;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engineering: the use of a combination of cells, engineering and biomaterials to improve or replace biological functions; and</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Bioadhesives: natural, biocompatible materials that act as adhesives for biological tissue and allow for natural cell and tissue infiltration and integration with native cells.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devoted substantially all of our resources to the development of our regenerative medicine platform, the preclinical and clinical advancement of our product candidates, the creation and protection of related intellectual property and the provision of general and administrative support for these operations. We have generated revenue from product sales, collaboration activities and grants. We have funded our operations primarily through the private placement of preferred stock and convertible promissory notes, through commercial bank debt and the proceeds of our initial public offering.</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never been profitable and have incurred net losses in each year since inception. Our accumulated deficit was $157.2 million as of September 30, 2015. Substantially all of our net losses resulted from costs incurred in connection with our research and development programs and from general and administrative costs associated with our operations. We expect to continue to incur significant expenses and increasing operating losses for at least the next several years. Our net losses may fluctuate significantly from quarter to quarter and year to year. We expect our expenses will increase substantially in connection with our ongoing activities as we:</w:t>
      </w:r>
    </w:p>
    <w:p>
      <w:pPr>
        <w:spacing w:after="0" w:line="89"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of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scale up and improvement of our manufacturing processes;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our technology transfer and manufacturing location;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preclinical and clinical trial materials;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technical personnel to conduct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scientific personnel to support our product development efforts;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systems;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selling, general and administrative personnel to operate as a public company.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expect to generate any future revenue from product sales until we successfully complete development and obtain regulatory approval for one or more of our product candidates, which we expect will take a number of years. If we obtain regulatory approval for any of our product candidates, we expect to incur significant commercialization expenses related to product sales, marketing, manufacturing and distribution. Accordingly, we will seek to fund our operations through public or private equity or debt financings or other sources. However, we may be unable to raise additional funds or enter into such other arrangements when needed, on favorable terms, or at all. Our failure to raise capital or enter into such other arrangements when needed would have a negative impact on our financial condition and ability to develop our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 operations in two geographic regions: Histogenics Corporation, a Delaware corporation, at our facilities in Waltham and Lexington, Massachusetts, and ProChon Biotech Ltd. (ProChon) in Tel Aviv, Israel. We own 100% of the voting shares of ProChon. As the nature of the products, customers and methods to distribute products are the same and the nature of the regulatory environment, the production processes and historical and estimated future margins are similar, the two operations have been aggregated into one reporting segment.</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May 13, 2011, we acquired ProChon, a privately held biotechnology company focused on modulating the fibroblast growth factor system to enable it to create more effective solutions for tissue regeneration. Unless otherwise indicated, the following information is presented on a consolidated basis to include our accounts and those of ProChon subsequent to the May 2011 acquisition.</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and following information include the accounts of Histogenics, ProChon and Histogenics Securities Corporation, a Massachusetts securities corporation.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consolidated financial condition and results of operations are based on our condensed consolidated financial statements, which have been prepared in accordance with U.S. generally accepted accounting principles. The preparation of these condensed consolidated financial statements requires us to make estimates and judgments that affect the reported amounts of assets, liabilities, revenue and expenses and the disclosure of contingent assets and liabilities in our condensed consolidated financial statements. On an ongoing basis, we evaluate our estimates and judgments, including those related to accrued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the SEC on March 27, 2015.</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Carryforwards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Utilization of the net operating loss (NOL) and research and development credit carryforwards may be subject to a substantial annual limitation due to ownership change limitations that have occurred or that could occur in the future, as required by Section 382 and 383 of the Internal Revenue Code (Code), as well as similar state and foreign provisions. These ownership changes may limit the amount of NOL and research and development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We have completed a study to assess whether an ownership change has occurred or whether there have been multiple ownership changes since our formation. The results of this study indicated we experienced ownership changes, as defined by Section 382 of the Code, in each of 2006, 2011, 2012 and 2013. We have not recorded NOLs that as a result of these restrictions will expire unused. Accordingly, we have recorded NOL carryforwards net of these limitations, which are $47.2 million in 2013 and 2014.</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December 31, 2014, we had U.S. federal and Israeli NOL carryforwards of $31.2 million and $25.2 million, respectively, which may be available to offset future taxable income. The U.S. federal NOL carryforwards begin to expire in 2034 and the Israeli NOL carryforward does not expire.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2015, we have provided a full valuation allowance for deferred tax assets.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5, 2012, the Jumpstart Our Business Startups Act (JOBS Act) was enacted. Section 107 of the JOBS Act permits an “emerging growth company” to delay the adoption of new or revised accounting standards until those standards would otherwise apply to private companies. We plan to avail ourselves of this exemption from new or revised accounting standards and, therefore, we may not be subject to the same new or revised accounting standards as other public companies that are not emerging growth companies.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are an “emerging growth company,” we intend to rely on exemptions relating to: (1) providing an auditor’s attestation report on our system of internal control over financial reporting pursuant to Section 404(b) of the Sarbanes-Oxley Act and (2)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earliest of (a) the last day of the fiscal year in which we have total annual gross revenue of $1.0 billion or more, (b) December 31, 2019, the last day of our fiscal year following the fifth anniversary of the date of the completion of our initial public offering (IPO), (c) the date on which we have issued more than $1.0 billion in non-convertible debt during the previous three years and (d) the date on which we are deemed to be a large accelerated filer under the rules of the SEC.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 Periods Ended September 30, 2015 and 2014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 periods ended September 30, 2015 and 2014:</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$13,237</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$(7,389)</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2,191</w:t>
            </w: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1,703</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2,966</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(3,005)</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were $5.8 million for the three month period ended September 30, 2015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$13.2 million for the three month period ended September 30, 2014. The decrease in expense of $7.4 million was primarily due to the expensing of license rights valued at $10 million and acquired as part of our Exclusive Channel Collaboration (ECC) Agreement with Intrexon Corporation (Intrexon) in September 2014. No such licensing rights were expensed during the three months ended September 2015 and the effect was partially offset by approximately $1.1 million of increased quality and regulatory consulting costs, approximately $0.4 million of incremental costs related to patient enrollment in the NeoCart Phase 3 clinical trial, approximately $0.4 million of increased facility fees and depreciation fees related to the Lexington facility, approximately $0.3 million related to an increased personnel related costs, approximately $0.2 million related to stock-based compensation expense from new option grants, and approximately $0.2 million of increased recruiting fees.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$2.2 million for the three month period ended September 30, 2015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$1.7 million for the three month period ended September 30, 2014. The increase in expense of $0.5 million was primarily due to approximately $0.2 million of increased Directors and Officers (D&amp;O) insurance costs, approximately $0.2 million of increased recruiting fees, and approximately $0.1 million related to stock-based compensation expense from new option grants.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(Expense) Income, Net. </w:t>
      </w:r>
      <w:r>
        <w:rPr>
          <w:rFonts w:ascii="Times New Roman" w:cs="Times New Roman" w:eastAsia="Times New Roman" w:hAnsi="Times New Roman"/>
          <w:sz w:val="18"/>
          <w:szCs w:val="18"/>
          <w:color w:val="auto"/>
        </w:rPr>
        <w:t>Net other expense was $39,000 for the three month period ended September 30, 2015 as compared to net other income of</w:t>
      </w:r>
    </w:p>
    <w:p>
      <w:pPr>
        <w:spacing w:after="0" w:line="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$3.0 million for the three month period ended September 30, 2014. The $3.0 million change was primarily due to a one-time fair value adjustment of warrant liability, other liability and net sales distribution payment liability, all of which were settled or terminated upon the closing of the IPO.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 Periods Ended September 30, 2015 and 2014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nine month periods ended September 30, 2015 and 2014:</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0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20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$17,470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$21,280</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$(3,810)</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6,035</w:t>
            </w: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4,843</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1,192</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2,410</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(2,580)</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$17.5 million for the nine month period ended September 30, 2015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$21.3 million for the nine month period ended September 30, 2014. The decrease in expense of $3.8 million was primarily due to the acquisition and expensing of license rights valued at $10 million as part of our ECC Agreement entered into with Intrexon in September 2014, which was partially offset by approximately $2.4 million of increased quality and regulatory consulting costs, approximately $1.3 million of incremental costs related to patient enrollment in the NeoCart Phase 3 clinical trial, approximately $1.1 million related to an increase in personnel related costs, approximately $0.8 million related to the Lexington facility, approximately $0.3 million in increased stock-based compensation expense from new option grants, approximately $0.2 million in increased costs primarily due to recruiting fees, and approximately $0.1 million related to material and supplies charges.</w:t>
      </w:r>
    </w:p>
    <w:p>
      <w:pPr>
        <w:spacing w:after="0" w:line="18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$6.0 million for the nine month period ended September 30, 2015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$4.8 million for the nine month period ended September 30, 2014. The increase in expense of $1.2 million was primarily due to approximately $0.5 million of increased D&amp;O insurance costs, approximately $0.2 million related to Board of Directors fees and expenses, approximately $0.2 million related to depreciation expense, approximately $0.2 million related to stock-based compensation expense from new option grants, and approximately $0.1 million recruiting fees.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(Expense) Income, Net. </w:t>
      </w:r>
      <w:r>
        <w:rPr>
          <w:rFonts w:ascii="Times New Roman" w:cs="Times New Roman" w:eastAsia="Times New Roman" w:hAnsi="Times New Roman"/>
          <w:sz w:val="18"/>
          <w:szCs w:val="18"/>
          <w:color w:val="auto"/>
        </w:rPr>
        <w:t>Net other expense was $0.2 million for the nine month period ended September 30, 2015 as compared to net other income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 million for the nine month period ended September 30, 2014. The $2.6 million change was primarily due to the periodic fair value adjustment of warrant liability, Other Liability and net sales distribution payment liability, all of which were settled or terminated upon the closing of the IPO.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resulting in an accumulated deficit at September 30, 2015 of $157.2 million. We anticipate that we will continue to incur net losses for the next several years.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Through September 30, 2015, we have funded our consolidated operations primarily through the funds raised in our IPO, the private placement of preferred stock and convertible notes, commercial bank debt and, to a limited extent, revenue from product sales, collaboration activities and grants. In May 2014, we issued 955,565 shares of our Series A-1 Preferred Stock for net proceeds of $10.3 million in cash. In December 2014, we closed our IPO whereby we sold 6,374,091 shares of our common stock (inclusive of 465,000 shares of common stock sold pursuant to partial exercise of the overallotment option granted to the underwriters in connection with the offering) for net proceeds of $61.3 million in cash. As of September 30, 2015, we had cash and cash equivalents of $37.7 million.</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be sufficient to fund our projected cash needs into 2017. We will require additional capital for the further development of our existing product candidates and may also need to raise additional funds sooner to pursue other development activities related to additional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each of the periods indicated:</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$(23,037)</w:t>
            </w:r>
          </w:p>
        </w:tc>
        <w:tc>
          <w:tcPr>
            <w:tcW w:w="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(13,260)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(9,777)</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(1,577)</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(241)</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9,361</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(4,843)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(20,337</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4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increased $9.8 million to $23.0 million for the nine month period ended September 30, 2015 from $13.2 million for the nine month period ended September 30, 2014. During the nine month period ended September 30, 2015, the net cash used for operating activities of $23.0 million consisted primarily of our net loss of $23.6 million, a $1.2 million net change in operating assets and liabilities and a $0.2 million charge for deferred rent and lease incentive, partially offset by stock-based compensation expense of $0.8 million and depreciation expense of $1.2 million. During the nine months ended September 30, 2014, the net cash used for operating activities of $13.3 million consisted primarily of our net loss of $23.7 million adjusted by a change in the fair value of certain liabilities of $2.4 million, a $0.2 million charge for deferred rent and lease incentive partially offset by the $10.0 million non-cash up front license fee for the note payable to Intrexon, a change in accounts payable of $2.0 million, a change in accrued expenses of $0.6 million and a change in stock-based compensation expense of $0.4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increased $0.2 million to $1.8 million for the nine month period ended September 30, 2015 from $1.6 million for the nine month period ended September 30, 2014. The increased use of cash was related to purchases of property and equipment, primarily lab equipment and an increase in leasehold improvements.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decreased $4.8 million to $4.5 million for the nine month period ended September 30, 2015 from cash provided of $9.3 million for the nine month period ended September 30, 2014. During the nine month period ended September 30, 2015, we received net proceeds of $4.7 million from the partial exercise of the underwriters’ overallotment option as part of our IPO, partially offset by the payment on our equipment line of credit of $0.2 million. During the nine months ended September 30, 2014, we closed the sale of our Series A-1 Preferred Stock for $10.3 million in net proceeds and drew down $0.4 million from our equipment line of credit with SVB, which were partially offset by the costs we incurred related to the IPO of $1.4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Requirements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Historically, we have generated minimal product revenue from therapeutic product sales of BioCart in Israel. In 2011, we suspended sales of BioCart in the Israeli market for strategic reasons. We do not know when, or if, we will generate any future revenue from therapeutic product sales. We do not expect to generate significant revenue from therapeutic product sales unless and until we obtain regulatory approval for and commercialize NeoCart or our future product candidates. We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anticipate that we will continue to incur losses for the next several years, and we expect the losses to increase as we continue the development of, and seek regulatory approvals for, NeoCart and our future product candidates, and begin to commercialize any approved products. We are subject to all risks inherent in the development of new therapeutic products, and we may encounter unforeseen expenses, difficulties, complications, delays and other unknown factors that may adversely affect our business. We have incurred additional costs associated with operating as a public company. We anticipate that we will need substantial additional funding in the future in connection with our continuing operations.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Until we can generate a sufficient amount of revenue from our regenerative medicine products, which may never occur,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The amount and timing of future funding requirements, both near- and long-term, will depend on many factors, including:</w:t>
      </w:r>
    </w:p>
    <w:p>
      <w:pPr>
        <w:spacing w:after="0" w:line="86"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initiation, progress, size, timing, costs and results of preclinical studies and clinical trials for our product candidates;</w:t>
      </w:r>
    </w:p>
    <w:p>
      <w:pPr>
        <w:spacing w:after="0" w:line="130" w:lineRule="exact"/>
        <w:rPr>
          <w:rFonts w:ascii="Times New Roman" w:cs="Times New Roman" w:eastAsia="Times New Roman" w:hAnsi="Times New Roman"/>
          <w:sz w:val="18"/>
          <w:szCs w:val="18"/>
          <w:color w:val="auto"/>
        </w:rPr>
      </w:pPr>
    </w:p>
    <w:p>
      <w:pPr>
        <w:jc w:val="both"/>
        <w:ind w:left="900" w:right="240" w:hanging="325"/>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by the FDA and comparable foreign regulatory authorities, including the potential for the FDA or comparable foreign regulatory authorities to require that we perform more studies than, or evaluate clinical endpoints other than those that we currently expect;</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associated with our technology transfer and manufacturing location transition;</w:t>
      </w:r>
    </w:p>
    <w:p>
      <w:pPr>
        <w:spacing w:after="0" w:line="130"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associated with manufacturing NeoCart and our future product candidates for clinical trials, preclinical studies and, if approved, for commercial sale;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required to pay milestone or other payments under our in-license agreements and the timing of such payments;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 including our need and ability to hire additional employees;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 and hire additional employees to operate as a public company;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products for which we may receive regulatory approval.</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because we lack sufficient capital, our business, financial condition and results of operations could be materially adversely affected.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and Security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Line of Credit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July 2014, we entered into a loan and security agreement with Silicon Valley Bank, which provides for a line of credit to finance certain equipment purchases up to an aggregate of $1.75 million through March 31, 2015. Any amounts drawn under the equipment line of credit will be amortized and payable in 36 monthly installments of principal and interest commencing six months following the date of the draw with an annual interest rate of 2.75% plus the greater of 3.25% and the prime rate in effect at the time of each draw. The outstanding balance on the line of credit is secured by a first priority lien over all equipment purchased using the line of credit.</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July 2014, we received funding of $1.75 million to purchase certain equipment, which is being repaid in 36 monthly installments of principal and interest. The annual interest rate is 6.00%. In accordance with the terms of the equipment line of credit, in July 2014 we issued a warrant to Silicon Valley Bank to purchase 6,566 shares of our common stock at an exercise price per share of $7.99.</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equipment line of credit includes customary operating but non-financial covenants, including limitations on our ability to incur additional indebtedness, issue dividends, sell assets, engage in any business other than our current business, merge or consolidate with other entities, create liens on our assets, make investments, repurchase our stock in certain instances, enter into transactions with affiliates, make payments on subordinated indebtedness and transfer or encumber any collateral securing the debt. As of September 30, 2015, $1.49 million of borrowings were outstanding under the line of credit and we were in compliance with all required covenants.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did not have any off-balance sheet arrangements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controls and other procedures designed to ensure that information required to be disclosed in reports filed or submitted under the Exchange Act is recorded, processed, summarized, and reported within the time periods specified by the rules and forms promulgated by the SEC. Disclosure controls and procedures include, without limitation, controls and procedures designed to ensure that such information is accumulated and communicated to management, including the chief executive officer and the chief financial officer, as appropriate, to allow timely decisions regarding required disclosure.</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we completed an evaluation, as of September 30, 2015, under the supervision of and with the participation of our management, including our Chief Executive Officer and Chief Financial Officer, as to the effectiveness of our disclosure controls and procedures (as such term is defined in Rules 13a-15(e) and 15d-15(e) under the Exchange Act).</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Based upon the evaluation, our Chief Executive Officer and Chief Financial Officer have concluded that, as of September 30, 2015, our disclosure controls and procedures were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report that have materially affected, or are reasonably likely to materially affect, our internal control over financial reporting.</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55" w:right="2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its business. We do not believe that we are currently party to any pending legal actions that could reasonably be expected to have a material adverse effect on our business, financial condition,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of risk factors include any material changes to, and supersedes the description of, risk factors associated with our business previously disclosed in Part I, Item 1A of our Annual Report on Form 10-K filed with the Securities and Exchange Commission (SEC) on March 27, 2015, under the heading “Risk Factors.” Our business, financial condition and operating results can be affected by a number of factors, whether current known or unknown, including but not limited to those described below, any one or more of which could, directly or indirectly, cause our actual operating results and financial condition to vary materially from past, or anticipated future, operating results and financial condition. Any of these factors, in whole or in part, could materially and adversely affect our business, financial condition, operating results and the price of our common stock.</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risk factors contains forward-looking statements. These risk factors may be important to understanding any statement in this Quarterly Report on Form 10-Q or elsewhere. The following information should be read in conjunction with the consolidated financial statements and related notes in Part I, Item 1, “Financial Statements” and Part I, Item 2, “Management’s, Discussion and Analysis of Financial Condition and Results of Operations.”</w:t>
      </w:r>
    </w:p>
    <w:p>
      <w:pPr>
        <w:spacing w:after="0" w:line="180" w:lineRule="exact"/>
        <w:rPr>
          <w:sz w:val="20"/>
          <w:szCs w:val="20"/>
          <w:color w:val="auto"/>
        </w:rPr>
      </w:pPr>
    </w:p>
    <w:p>
      <w:pPr>
        <w:jc w:val="both"/>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Because of the following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Commercialization of Our Product Candidates</w:t>
      </w:r>
    </w:p>
    <w:p>
      <w:pPr>
        <w:spacing w:after="0" w:line="117"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a short operating history developing clinical-stage regenerative medicine products and there is a limited amount of information about us upon which you can evaluate our product candidates and business prospects, making an investment in our common stock unsuitable for many investors.</w:t>
      </w:r>
    </w:p>
    <w:p>
      <w:pPr>
        <w:spacing w:after="0" w:line="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clinical-stage regenerative medicine company, formed in 2000, with a limited operating history. Since inception we have devoted substantially all of our resources to the development of our regenerative medicine platform, the clinical and preclinical advancement of our product candidates, the creation, licensing and protection of related intellectual property rights and the provision of general and administrative support for these operations. We have not yet obtained regulatory approval for any product candidates in any jurisdiction or generated any significant revenues from product sales. If NeoCart or any of our future product candidates fails in clinical trials or preclinical development, or does not gain regulatory approval, or if our product candidates following regulatory approval, if any, do not achieve market acceptance, we may never become profitable or sustain profitability.</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commenced our first clinical trial in 2005, and we have a limited operating history developing clinical-stage regenerative medicine products upon which you can evaluate our business and prospects. In addition, besides our current ongoing Phase 3 clinical trial we have never conducted clinical trials of a size required for regulatory approvals. Further, we have not yet demonstrated an ability to successfully overcome many of the risks and uncertainties frequently encountered by companies in new and rapidly evolving fields, such as regenerative medicine. For example, to execute our current business plan we will need to successfully:</w:t>
      </w:r>
    </w:p>
    <w:p>
      <w:pPr>
        <w:spacing w:after="0" w:line="89"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research and development strategies, including successfully enrolling and completing our clinical trial program for NeoCart;</w:t>
      </w:r>
    </w:p>
    <w:p>
      <w:pPr>
        <w:spacing w:after="0" w:line="130" w:lineRule="exact"/>
        <w:rPr>
          <w:rFonts w:ascii="Times New Roman" w:cs="Times New Roman" w:eastAsia="Times New Roman" w:hAnsi="Times New Roman"/>
          <w:sz w:val="18"/>
          <w:szCs w:val="18"/>
          <w:color w:val="auto"/>
        </w:rPr>
      </w:pPr>
    </w:p>
    <w:p>
      <w:pPr>
        <w:ind w:left="900" w:right="140" w:hanging="325"/>
        <w:spacing w:after="0" w:line="313"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the transition of the NeoCart raw material manufacturing process to our in-house facilities and satisfy the U.S. Food and Drug Administration (FDA) as to the comparability of such raw materials to those manufactured by third parties for use in our NeoCart clinical trials;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for the commercialization of NeoCart;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potential indications of NeoCart and our regenerative medicine platform;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manufacturing and commercialization;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and maintain a strong intellectual property portfolio;</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qualified executive management personnel;</w:t>
      </w:r>
    </w:p>
    <w:p>
      <w:pPr>
        <w:spacing w:after="0" w:line="130" w:lineRule="exact"/>
        <w:rPr>
          <w:rFonts w:ascii="Times New Roman" w:cs="Times New Roman" w:eastAsia="Times New Roman" w:hAnsi="Times New Roman"/>
          <w:sz w:val="18"/>
          <w:szCs w:val="18"/>
          <w:color w:val="auto"/>
        </w:rPr>
      </w:pPr>
    </w:p>
    <w:p>
      <w:pPr>
        <w:ind w:left="900" w:right="76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appropriate research and development, clinical, sales, manufacturing, financial reporting, distribution and marketing capabilities on our own or through third parties;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additional funding as may be needed;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broad market acceptance for our product candidates;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successful strategic relationships.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any of these objectives, we may not be able to develop product candidates, raise capital, expand our business or continue our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substantial losses for the next several years.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including net losses of $25.7 million in 2013 and $22.8 million in 2014. As of December 31, 2014 and September 30, 2015, we had an accumulated deficit of $133.5 million and $157.2 million respectively. We expect to continue to incur substantial losses for the next several years, and we expect these losses to increase as we continue our development of and seek regulatory approval for, NeoCart and our future product candidates. In addition, if we receive regulatory approval to market NeoCart or any of our future product candidates, we will incur additional losses as we scale our manufacturing operations and build an internal sales and marketing organization to commercialize any approved products. In addition, we expect our expenditures to increase as we add infrastructure and personnel to support our operations as a public company. We anticipate that our net losses and accumulated deficit for the next several years will be significant as we conduct our planned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regenerative medicine product development, we are unable to accurately predict the timing or amount of the development and clinical expenses or when, or if we will be able to achieve, or maintain, profitability. In addition, our expenses could increase if we are required by the FDA or comparable foreign regulatory authorities to perform preclinical or clinical studies or trials in addition to those currently expected, or if there are any delays in completing the technology transfer and manufacturing location transition of our NeoCart raw material manufacturing process or completing our clinical trials or the development of NeoCart or our future product candidates. The amount of our future net losses will depend, in part, on the amount and timing of our expenses, our ability to generate revenue and our ability to raise additional capital. These net losses have had, and will continue to have, an adverse effect on our stockholders’ equity and working capital.</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funding, which may not be available to us on acceptable terms, or at all, and, if not available, may require us to delay, reduce or cease our product development activities and operations.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currently advancing our lead product candidate NeoCart through clinical development. Developing regenerative medicine products, including conducting preclinical studies and clinical trials, is expensive. We may require substantial additional capital in order to complete the clinical development of, create additional manufacturing capacity and to commercialize NeoCart and to conduct the research and development and clinical and regulatory activities necessary to bring other product candidates to market. If the FDA or comparable foreign regulatory authorities require that we perform additional preclinical studies or clinical trials at any point or expand or extend our current trials, our expenses would further increase beyond what we currently expect, and the anticipated timing of any future clinical development activities and potential regulatory approvals will likely be delayed. Raising funds in the then-current economic environment may be difficult and additional funding may not be available on acceptable terms, or at all.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and timing of our future near-term funding requirements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expansion, costs and results of our NeoCart clinical trials;</w:t>
      </w:r>
    </w:p>
    <w:p>
      <w:pPr>
        <w:spacing w:after="0" w:line="130" w:lineRule="exact"/>
        <w:rPr>
          <w:rFonts w:ascii="Times New Roman" w:cs="Times New Roman" w:eastAsia="Times New Roman" w:hAnsi="Times New Roman"/>
          <w:sz w:val="18"/>
          <w:szCs w:val="18"/>
          <w:color w:val="auto"/>
        </w:rPr>
      </w:pPr>
    </w:p>
    <w:p>
      <w:pPr>
        <w:jc w:val="both"/>
        <w:ind w:left="900" w:right="4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associated with obtaining FDA approval of the comparability of the NeoCart raw materials manufactured in our facilities, or in third party facilities at our direction, with the raw materials that were manufactured by third parties for the use in our NeoCart clinical trials;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NeoCart regulatory approvals;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NeoCart following the receipt of regulatory approval, if any;</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and protecting our intellectual property portfolio, including potential litigation costs and liabilities associated therewith;</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we devote to marketing and, if approved, commercializing NeoCart;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expansion and costs of manufacturing NeoCart;</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as we become a public company;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Many of these factors are outside of our control. Based upon our currently expected level of operating expenditures, we believe that we will be able to fund our operations and sustain currently projected cash needs into 2017. Our expectations are based on management’s current assumptions and clinical development plans, which may prove to be wrong, and we could spend our available financial resources much faster than we currently expect. This period could be shortened if there are any unanticipated increases in spending on development programs. Our existing cash and cash equivalents will not be sufficient to complete the advanced clinical development of all of our product candidates that would be necessary to support an application for regulatory approval. Accordingly, we will continue to require substantial additional capital. In order to fund our future needs, we may seek additional funding through equity or debt financings, development partnering arrangements, lines of credit or other sources.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are required to secure additional financing, the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are unable to raise additional capital when required or on acceptable terms, we may be required to significantly delay, reduce or discontinue the development or commercialization of one or more of our product candidates or curtail our operations, which will have an adverse effect on our business, operating results and prospects.</w:t>
      </w:r>
    </w:p>
    <w:p>
      <w:pPr>
        <w:spacing w:after="0" w:line="18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any delay in obtaining, FDA approval regarding the comparability of critical NeoCart raw materials following our technology transfer and manufacturing location transition may have an adverse effect on our business, operating results and prospects.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in the process of completing a technology transfer to transition the manufacturing of certain raw materials and components in the NeoCart supply chain from outsourced contract manufacturers to in-house manufacturing facilities. We have also entered into a supply agreement with Collagen Solutions (UK) Limited (Collagen Solutions) pursuant to which we will oversee the manufacture of additional collagen used in our manufacture of NeoCart. We currently do not anticipate using any collagen produced by Collage Solutions during our Phase 3 clinical trial, but anticipate needing additional supplies of collagen above those we anticipate being able to produce in-house upon commercialization, if ever. Therefore, we have engaged Collagen Solutions in order to establish a relationship and work with the FDA as appropriate to complete necessary comparability approvals in advance of commercialization, if ever. We currently have enough of, or access to, these raw materials and components in order to supply our Phase 3 clinical trial through the end of the first quarter of 2016. Our technology transfer will need to be completed by that time in order to manufacture the supply of raw materials and components to complete the Phase 3 clinical trial and commercialize NeoCart upon FDA approval, if any. This technology transfer extends to the three components of the CT3 bioadhesive—methylated collagen, curing component and activated polyethylene glycol—as well as our collagen source, preparation and collagen honeycomb scaffold, which are used in the production of NeoCart. Although we do not anticipate changes to the raw materials, formulations or properties, nor do we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anticipate changes to the NeoCart manufacturing process or finished product specifications as a result of the transfer, we are required to demonstrate to the FDA that the raw materials manufactured in our facility, and which may be manufactured under our direction in third party facilities (including, without limitation, facilities operated by Collagen Solutions) are comparable to the raw materials that were manufactured in the previous contract manufacturers’ facilities. Demonstrating comparability requires evidence that the product is consistent with that produced for the clinical trial to assure that the technology transfer does not affect safety, identity, purity or efficacy during the expansion from pilot scale to full scale production.</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obtain FDA approval of the comparability of the raw materials, we intend to submit an amendment to our existing Investigational New Drug (IND) application file for FDA pre-approval. Prior to submission of the amendment to the IND application, we met with the FDA in December 2014 to obtain input and general agreement with respect to our technology transfer and comparability plans. We provided the FDA with a briefing package that included our technology transfer plan, comparability plans, product test methods and manufacturing process summaries.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FDA may determine that such analytical data is not sufficient to prove comparability of the raw materials produced at our in-house manufacturing sites, or the sites of third parties under our direction, to the raw materials sourced from external vendors for earlier clinical trial work, including the Phase 3 clinical trial. If this is the case, the FDA may require that we provide additional preclinical or clinical data to provide evidence to support the comparability of the raw materials. The size, scope, length and costs of any new or supplemental clinical trials that may be required by the FDA to provide such data are not known at this time. Failure or delay in obtaining FDA approval of the comparability of our NeoCart raw materials or the FDA requiring us to provide clinical data may result in delays to our current projected timelines and could have an adverse effect on our business, operating results and prospects.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our manufacturing sites, or those of third party sites under our direction, may not receive FDA approval to operate at all, resulting in delays while we implement improvements necessary to receive approval which would lead to delays in the initiation of commercial production. In addition, we could encounter difficulties involving production yields, quality control and quality assurance, as well as shortages of qualified personnel, leading to additional delays.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are required to identify and enroll a sufficient number of patients that meet inclusion criteria under investigation for NeoCart. We will need to enroll the remaining patients in a timely manner in order to complete the trial. There is a limited patient population from which to draw participants in clinical trials. Due to the need to find patients with few or no concomitant joint disease, we may not be able to identify and enroll a sufficient number of patients, or those with required or desired characteristics and criteria, in a timely manner. In addition, there are a limited number of specialized orthopedic surgeons that perform cartilage repair implantation procedures and among physicians who perform such procedures, some may not choose to perform these procedures under conditions that fall within our protocols, which would have an adverse effect on our development of NeoCart. Our ability to enroll patients in our clinical trials is affected by a number of factors including:</w:t>
      </w:r>
    </w:p>
    <w:p>
      <w:pPr>
        <w:spacing w:after="0" w:line="95"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protocol;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 in question;</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therapies and competing clinical trials, and physician and patient perception of NeoCart and our other product candidates being studied in relation to these other potential options;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solicit and recruit a sufficient number of patients;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we enroll;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time and resources at the institutions where clinical trials are and will be conducted;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the possibility of raw materials expiring prior to their use;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concomitant joint disease in patients under investigation;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endpoints such as pain that rely on subjective patient reported outcomes;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subjects will drop out before study completion.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we have difficulty enrolling a sufficient number of patients to conduct our clinical trials as planned, we may need to delay or terminate ongoing or planned clinical trials, either of which would have an adverse effect on our business.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number of companies in the regenerative medicine industry have suffered significant setbacks or difficulty enrolling patients in later stage clinical trials even after achieving promising results in earlier stages of development. Success in preclinical testing and early clinical trials does not ensure that later clinical trials will be successful, and initial results from a clinical trial do not necessarily predict final results. Even if early stage clinical trials are successful, we may need to conduct additional clinical trials for product candidates in additional patient populations or under different treatment conditions before we are able to seek approvals from the FDA and regulatory authorities outside the United States to market and sell these product candidates. Our failure to demonstrate the required characteristics to support marketing approval for NeoCart and our product candidates in our planned and future clinical trials would substantially harm our business and prospects.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lead product candidate NeoCart, which is still under development. If we are unable to commercialize NeoCart, or experience significant delays due to manufacturing or otherwise in doing so, our business will be materially harmed.</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NeoCart, our product candidate in clinical development. We anticipate that in the near term our ability to generate revenues will depend solely on the successful development and commercialization of NeoCart. We may not complete our registration filings in our anticipated time frame. Even after we complete our Biologics License Application (BLA) filing, the FDA may not accept our submission, may request additional information from us, including data from additional clinical trials, and, ultimately, may not grant marketing approval for NeoCart. In addition, the clinical data we have to date often is susceptible to varying interpretations and many companies that have believed that their products performed satisfactorily in clinical trials have nonetheless failed to obtain FDA approval for their products.</w:t>
      </w:r>
    </w:p>
    <w:p>
      <w:pPr>
        <w:spacing w:after="0" w:line="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we are not successful in commercializing NeoCart, or are significantly delayed in doing so, our business will be materially harmed and we may need to curtail or cease operations. Our ability to successfully commercialize NeoCart will depend, among other things, on our ability to:</w:t>
      </w:r>
    </w:p>
    <w:p>
      <w:pPr>
        <w:spacing w:after="0" w:line="67"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through a validated process, NeoCart in quantities sufficiently large to permit successful commercialization;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marketing approvals from the FDA and similar foreign regulatory authorities;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NeoCart;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acceptance of NeoCart in the medical community and with third-party payors.</w:t>
      </w:r>
    </w:p>
    <w:p>
      <w:pPr>
        <w:spacing w:after="0" w:line="22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NeoCart and our future product candidates are subject to extensive regulation, compliance with which is costly and time consuming, may cause unanticipated delays or prevent the receipt of the approvals required to commercialize NeoCart and our future product candidates.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NeoCart and our future product candidates are subject to extensive regulation by the FDA in the United States and by comparable authorities in foreign markets. In the United States, we are not permitted to market our product candidates until we receive regulatory approval from the FDA. The process of obtaining regulatory approval is expensive, often takes many years, and can vary substantially based upon the type, complexity, and novelty of the products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involved, as well as the target indications. Approval policies or regulations may change and the FDA has substantial discretion in the tissue regeneration approval process, including the ability to delay, limit or deny approval of a product candidate for many reasons. Despite the time and expense invested in clinical development of product candidates, regulatory approval is never guaranteed.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31"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any of our future development partners’ clinical trials;</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future development partners may be unable to demonstrate to the satisfaction of the FDA or other regulatory authorities that a product candidate is safe and effective for any indication;</w:t>
      </w:r>
    </w:p>
    <w:p>
      <w:pPr>
        <w:spacing w:after="0" w:line="67"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the United States;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demonstrate the safety or efficacy required by such authorities for approval;</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future development partners may be unable to demonstrate that a product candidate’s clinical and other benefits outweigh its safety risks;</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 or the use of results from studies that served as precursors to our current or future product candidates;</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our manufacturing processes or facilities or those of third-party manufacturers with which we or any of our future development partners contract for clinical and commercial supplies; or</w:t>
      </w:r>
    </w:p>
    <w:p>
      <w:pPr>
        <w:spacing w:after="0" w:line="67"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such authorities may significantly change in a manner rendering our or any of our future development partners’ clinical data insufficient for approval.</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 respect to foreign markets, approval procedures vary among countries and, in addition to the risks described above, can involve additional product testing, administrative review periods, and agreements with pricing authorities. In addition, events raising questions about the safety of certain marketed pharmaceuticals or biologics may result in increased cautiousness by the FDA and comparable foreign regulatory authorities in reviewing new tissue regeneration products based on safety, efficacy or other regulatory considerations and may result in significant delays in obtaining regulatory approvals. Any delay in obtaining, or inability to obtain, applicable regulatory approvals would prevent us or any of our future development partners from commercializing our product candidates.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NeoCart or any future product candidate we or any of our future development partners advance into clinical trials may cause unacceptable adverse events or have other properties that may delay or prevent its regulatory approval or limit its commercial potential.</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Unacceptable adverse events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and markets. This in turn could prevent us from completing development or commercializing the affected product candidate and generating revenue from its sale.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not yet completed clinical testing of any of our product candidates for the treatment of the indications for which we intend to seek approval, and we currently do not know the extent of adverse events, if any, that will be observed in individuals who receive any of our product candidates. If any of our product candidates cause unacceptable adverse events in clinical trials, we may not be able to obtain regulatory approval or commercialize such product candidate.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technologies on which our channel partnering agreement with Intrexon Corporation is based are currently in preclinical and clinical stages of development.</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an Exclusive Channel Collaboration Agreement (the ECC) with Intrexon Corporation (Intrexon) that provides for the worldwide exclusive use of Intrexon’s proprietary synthetic biology technology platform for the development and commercialization of allogeneic genetically modified chondrocyte cell therapeutics for the treatment or repair of damaged articular hyaline cartilage in humans. Such technologies have a limited history of use in the design and development of human therapeutic product candidates and may therefore involve unanticipated risks or delays. We cannot assure that any product candidates developed from this collaboration will result in nonclinical results sufficient to warrant the expense of clinical testing in human clinical trials.</w:t>
      </w:r>
    </w:p>
    <w:p>
      <w:pPr>
        <w:spacing w:after="0" w:line="1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 clinical trials are not always predictive of future results. Any product candidate we or any of our future development partners advance into clinical trials may not have favorable results in later clinical trials, if any, or receive regulatory approval.</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Regenerative medicine product development has inherent risk. We or any of our future development partners will be required to demonstrate through adequate and well-controlled clinical trials that our product candidates are effective, with a favorable benefit-risk profile, for use in their target indications before we can seek regulatory approvals for their commercial sale. Regenerative medicine product development is a long, expensive and uncertain process, and delay or failure can occur at any stage of development, including after commencement of any of our clinical trials. In addition, success in early clinical trials does not mean that later clinical trials will be successful because product candidates in later-stage clinical trials may fail to demonstrate sufficient safety or efficacy despite having progressed through initial clinical testing. Furthermore, our future trials will need to demonstrate sufficient safety and efficacy for approval by regulatory authorities in larger patient populations. Companies frequently suffer significant setbacks in advanced clinical trials, even after earlier clinical trials have shown promising results. In addition, only a small percentage of biologics under development result in the submission of a New Drug Application (NDA) or a BLA to the FDA and even fewer are approved for commercialization.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multitude of manufacturing risks, any of which could substantially increase our costs and limit supply of our 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of manufacturing NeoCart is complex, highly regulated and subject to several risks, including:</w:t>
      </w:r>
    </w:p>
    <w:p>
      <w:pPr>
        <w:spacing w:after="0" w:line="131" w:lineRule="exact"/>
        <w:rPr>
          <w:sz w:val="20"/>
          <w:szCs w:val="20"/>
          <w:color w:val="auto"/>
        </w:rPr>
      </w:pPr>
    </w:p>
    <w:p>
      <w:pPr>
        <w:ind w:left="900" w:right="160" w:hanging="325"/>
        <w:spacing w:after="0" w:line="258"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manufacturing NeoCart, including the use of autologous cells, is susceptible to product loss due to contamination, equipment failure or improper installation or operation of equipment, or surgeon or laboratory technician error. Even minor deviations from normal manufacturing processes could result in lost NeoCart production runs, product defects and other supply disruptions. If microbial, viral or other contaminations are discovered in our products or in the manufacturing process or facilities in which our products are made, such manufacturing facilities may need to be closed for an extended period of time to investigate and remedy the contamination.</w:t>
      </w:r>
    </w:p>
    <w:p>
      <w:pPr>
        <w:spacing w:after="0" w:line="89" w:lineRule="exact"/>
        <w:rPr>
          <w:rFonts w:ascii="Times New Roman" w:cs="Times New Roman" w:eastAsia="Times New Roman" w:hAnsi="Times New Roman"/>
          <w:sz w:val="18"/>
          <w:szCs w:val="18"/>
          <w:color w:val="auto"/>
        </w:rPr>
      </w:pPr>
    </w:p>
    <w:p>
      <w:pPr>
        <w:ind w:left="900" w:right="80" w:hanging="325"/>
        <w:spacing w:after="0" w:line="26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NeoCart is made could be adversely affected by equipment failures, labor shortages, natural disasters, power failures and numerous other factors. For instance, in 2012, we voluntarily suspended manufacturing operations and paused enrollment of the NeoCart Phase 3 clinical trial upon discovery of discrepancies in the testing procedures used to assess one of the raw materials utilized in the manufacture of NeoCart implants and we could be required in the future to suspend manufacturing due to circumstances out of our control.</w:t>
      </w:r>
    </w:p>
    <w:p>
      <w:pPr>
        <w:spacing w:after="0" w:line="85" w:lineRule="exact"/>
        <w:rPr>
          <w:rFonts w:ascii="Times New Roman" w:cs="Times New Roman" w:eastAsia="Times New Roman" w:hAnsi="Times New Roman"/>
          <w:sz w:val="18"/>
          <w:szCs w:val="18"/>
          <w:color w:val="auto"/>
        </w:rPr>
      </w:pPr>
    </w:p>
    <w:p>
      <w:pPr>
        <w:ind w:left="900" w:hanging="325"/>
        <w:spacing w:after="0" w:line="253"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contract manufacturers must comply with the current Good Manufacturing Practices (cGMP) regulations and guidelines promulgated by the FDA. We and our contract manufacturers may encounter difficulties in achieving quality control and quality assurance and may experience shortages in qualified personnel. We and our contract manufacturers are subject to inspections by the FDA and comparable agencies in other jurisdictions to confirm compliance with applicable regulatory requirements. Any failure to follow cGMP or other regulatory requirements or delay, interruption or other issues that arise in the manufacture, packaging, storage or shipping of our products as a result of a failure of our facilities or operations, or the facilities or operations of third parties, to comply with regulatory requirements or pass any regulatory authority inspection could significantly impair our ability to develop and commercialize our products, including leading to significant delays in the availability of products for our clinical studies or the termination or hold on a clinical study,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products or may be subject to product recalls, seizures, injunctions, or criminal prosecution.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products may result in shipment delays, clinical enrollment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manufacture NeoCart, we operate our own cGMP manufacturing facility in Waltham, Massachusetts for production of NeoCart. We are in the process of completing a facility for our cGMP manufacturing in Lexington, Massachusetts which we plan to build out to produce key NeoCart raw materials, including CT3 components, collagen and scaffold. While we own the manufacturing process, unforeseen issues or outside influences could impact potential supply. For example:</w:t>
      </w:r>
    </w:p>
    <w:p>
      <w:pPr>
        <w:spacing w:after="0" w:line="86" w:lineRule="exact"/>
        <w:rPr>
          <w:sz w:val="20"/>
          <w:szCs w:val="20"/>
          <w:color w:val="auto"/>
        </w:rPr>
      </w:pPr>
    </w:p>
    <w:p>
      <w:pPr>
        <w:ind w:left="900" w:right="34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facility in Waltham may not meet FDA cGMP standards during the pre-approval inspection necessary for BLA approval, delaying BLA approval and resulting in added cost to mitigate issues identified during inspection.</w:t>
      </w:r>
    </w:p>
    <w:p>
      <w:pPr>
        <w:spacing w:after="0" w:line="67" w:lineRule="exact"/>
        <w:rPr>
          <w:rFonts w:ascii="Times New Roman" w:cs="Times New Roman" w:eastAsia="Times New Roman" w:hAnsi="Times New Roman"/>
          <w:sz w:val="18"/>
          <w:szCs w:val="18"/>
          <w:color w:val="auto"/>
        </w:rPr>
      </w:pPr>
    </w:p>
    <w:p>
      <w:pPr>
        <w:ind w:left="900" w:right="20" w:hanging="325"/>
        <w:spacing w:after="0" w:line="254"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Lexington, Massachusetts site for production of key raw materials may not be completed on our current schedule and once completed may not receive FDA approval to operate, resulting in delays while we implement improvements necessary to receive approval, leading to delays in the initiation of commercial production. We met with the FDA in December 2014 to obtain preliminary feedback and general acceptance of our raw material transition strategy. Additionally, we have entered into a supply agreement with Collagen Solutions pursuant to which we will oversee the manufacture of additional collagen used in our manufacture of NeoCart. Any raw materials manufactured or handled at facilities operated by Collagen Solutions will similarly need to be approved by the FDA for comparability, and the FDA may delay approval of the new raw material source or require additional studies to show comparability. We currently do not anticipate using any collagen produced by Collage Solutions during our Phase 3 clinical trial, but anticipate needing additional supplies of collagen above those we anticipate being able to produce in-house upon commercialization, if ever. Therefore, we have engaged Collagen Solutions in order to establish a relationship and work with the FDA as appropriate to complete necessary comparability approvals in advance of commercialization, if ever.</w:t>
      </w:r>
    </w:p>
    <w:p>
      <w:pPr>
        <w:spacing w:after="0" w:line="91" w:lineRule="exact"/>
        <w:rPr>
          <w:rFonts w:ascii="Times New Roman" w:cs="Times New Roman" w:eastAsia="Times New Roman" w:hAnsi="Times New Roman"/>
          <w:sz w:val="18"/>
          <w:szCs w:val="18"/>
          <w:color w:val="auto"/>
        </w:rPr>
      </w:pPr>
    </w:p>
    <w:p>
      <w:pPr>
        <w:ind w:left="900" w:right="160" w:hanging="325"/>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raw material to be produced at our facilities or those of Collage Solutions under our direction may not be comparable to the raw materials sourced from external vendors for earlier clinical trial work, including the ongoing NeoCart Phase 3 clinical trial, according to our current projected timelines, and the FDA may delay approval of the new raw material source or require additional studies to show comparability. Such delays may impact enrollment of our NeoCart Phase 3 clinical trial and FDA approval, if granted at all.</w:t>
      </w:r>
    </w:p>
    <w:p>
      <w:pPr>
        <w:spacing w:after="0" w:line="85" w:lineRule="exact"/>
        <w:rPr>
          <w:rFonts w:ascii="Times New Roman" w:cs="Times New Roman" w:eastAsia="Times New Roman" w:hAnsi="Times New Roman"/>
          <w:sz w:val="18"/>
          <w:szCs w:val="18"/>
          <w:color w:val="auto"/>
        </w:rPr>
      </w:pPr>
    </w:p>
    <w:p>
      <w:pPr>
        <w:ind w:left="900" w:right="120" w:hanging="325"/>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our anticipated production throughput targets, resulting in lower than anticipated capacity, limiting supply of our products, lowering revenue and increasing costs. We may not hit our production cost target for a variety of reasons including increased raw material cost, underestimate of labor requirements, underestimate of capital requirement and other facility, personnel or materials issues that we have not anticipated. Increased costs will adversely impact gross margin achieved by our products.</w:t>
      </w:r>
    </w:p>
    <w:p>
      <w:pPr>
        <w:spacing w:after="0" w:line="85"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approve implementation of the multi-unit NeoCart reactor or approval may be delayed, which could result in capacity limitation or high unit costs, depending upon the length of the delay.</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comply with any of our obligations under existing agreements pursuant to which we license rights or technology, which could result in the loss of rights or technology that are material to our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technology licenses that are important to our business and we may enter into additional licenses in the future. We currently hold material licenses from Purpose Co., Ltd., Angiotech Pharmaceuticals (US), Inc., Angiodevice International GmbH, the Board of Trustees of The Leland Stanford Junior University, Yeda Research and Development Co., Ltd., Koken Co., Ltd., Intrexon and Advanced BioMatrix, Inc. The rights licensed under these agreements, including rights relating to our scaffolds, tissue processor, bioadhesives and growth factors, are material to our regenerative medicine platform and the continued development of NeoCart and our future product candidates. These licenses impose various commercial, contingent payment, royalty, insurance, indemnification and other obligations on us. If we fail to comply with these obligations, the licensor may have the right to terminate the license, in which event we would lose valuable rights under our license agreements and our ability to develop or commercialize product candidates. Any termination or reversion of our rights to under the foregoing agreements may have a material adverse effect on our business, prospects and results of operations. Our ECC with Intrexon provides that Intrexon may terminate such agreement if we do not perform certain specified requirements, including developing therapies considered demonstrably superior to existing therapies and those under development by us.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240" w:top="455" w:right="3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regenerative medicine products is inherently expensive and risky and may not be understood by or accepted in the marketplace, which could adversely affect our future value.</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clinical development, commercialization and marketing of regenerative medicine products are at an early-stage, substantially research-oriented, and financially speculative. To date, very few companies have been successful in their efforts to develop and commercialize regenerative medicine products. In general, regenerative medicine products may be susceptible to various risks, including undesirable and unintended side effects, unintended immune system responses, inadequate therapeutic efficacy, potentially prohibitive costs or other characteristics that may prevent or limit their approval or commercial use. Furthermore, the number of people who may use cell- or tissue-based regenerative medicine therapies is difficult to forecast with accuracy. Our future success is dependent on the establishment of a large global market for regenerative medicine products and our ability to capture a share of this market with NeoCart and our future product candidates.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development efforts with our regenerative medicine platform are susceptible to the same risks of failure inherent in the development and commercialization of product candidates based on new technologies. The novel nature of regenerative medicine products creates significant challenges in the areas of product development and optimization, manufacturing, government regulation, third-party reimbursement and market acceptance.</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Even if we successfully develop and obtain regulatory approval for NeoCart and our future product candidates, the market may not understand or accept them. NeoCart and our future product candidates represent novel treatments and are expected to compete with a number of surgical options and more conventional products and therapies manufactured and marketed by others, including major pharmaceutical and biotechnology companies. The degree of market acceptance of any of our developed and potential product candidates will depend on a number of factors, including:</w:t>
      </w:r>
    </w:p>
    <w:p>
      <w:pPr>
        <w:spacing w:after="0" w:line="86" w:lineRule="exact"/>
        <w:rPr>
          <w:sz w:val="20"/>
          <w:szCs w:val="20"/>
          <w:color w:val="auto"/>
        </w:rPr>
      </w:pPr>
    </w:p>
    <w:p>
      <w:pPr>
        <w:ind w:left="900" w:right="54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safety and effectiveness of NeoCart and our future product candidates and their perceived advantage over alternative treatment methods, if any;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involving NeoCart and our future product candidates or the products or product candidates of others;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products and the reimbursement policies of government and private third-party payors.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healthcare community does not accept NeoCart or our future product candidates for any of the foregoing reasons, or for any other reason, it could affect our sales, having an adverse effect on our business, financial condition and results of operations.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to develop and commercialize our product candidates including NeoCart, and we may be unable to raise additional capital when needed at all, which could force us to reduce or discontinue such product candidates.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and timing of our future, long-term funding requirements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costs and results of the product candidate development programs which we are pursuing or may choose to pursue in the future;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expansion, costs and results of our preclinical and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regulatory approvals;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products for which we receive 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development partnering arrangements;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contingent, royalty and other payments from our future development partners, if 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other adverse market developments;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and protecting our intellectual property portfolio, including potential litigation costs and liabilities;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we devote to marketing and, if approved, commercializing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expansion and costs of manufacturing our product candidates;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financing the purchases of additional capital equipment and development technologies.</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If we are unable to raise additional funding for our product candidates, including NeoCart, when needed, we may be required to delay, reduce or terminate some or all of our development programs and clinical trials. We may be required to sell or license to others our technologies, product candidates or development programs that we would have preferred to develop and commercialize ourselves.</w:t>
      </w:r>
    </w:p>
    <w:p>
      <w:pPr>
        <w:spacing w:after="0" w:line="172"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competitors develop treatments for the target indications of NeoCart or our future product candidates that are approved more quickly, marketed more successfully or demonstrated to be safer or more effective than our product candidates, our commercial opportunity will be reduced or eliminated.</w:t>
      </w:r>
    </w:p>
    <w:p>
      <w:pPr>
        <w:spacing w:after="0" w:line="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regenerative medicine industry is intensely competitive and subject to rapid and significant technological change. We face competition from major multinational companies, established and early-stage biotechnology companies, and universities and other research institutions. Many of our competitors have greater financial and other resources, such as larger research and development staff and more experienced marketing and manufacturing organizations. Large pharmaceutical companies, in particular, have extensive experience in clinical testing, obtaining regulatory approvals, recruiting patients and manufacturing products. These companies also have significantly greater research, sales and marketing capabilities and collaborative arrangements in our target markets with leading companies and research institutions. Established companies may also invest heavily to accelerate discovery and development of novel therapeutics or to in-license novel therapeutics that could make the product candidates that we develop obsolete. As a result of all of these factors, our competitors may succeed in obtaining patent protection or FDA approval or discovering, developing and commercializing treatments in the regenerative medicine indications that we are targeting before we do. Smaller or early-stage companies may also prove to be significant competitors, particularly through collaborative arrangements with large, established companies.</w:t>
      </w:r>
    </w:p>
    <w:p>
      <w:pPr>
        <w:spacing w:after="0" w:line="18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There are several clinical-stage development programs in various stages of development that seek to regenerate soft tissue and repair cartilage. In addition, many universities and private and public research institutes may develop technologies that are relevant to our product candidates, but license them to our competitors. Our competitors may succeed in developing, acquiring or licensing on an exclusive basis, technologies and products that are more effective, including a one-step alternative to NeoCart, or less costly than NeoCart or any future product candidates that we may develop, which could render our products obsolete and noncompetitive.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131"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and our collaborative partners’ preclinical studies and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enroll patients for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reliability of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at which we develop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and successfully execute appropriate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develop intellectual property rights related to our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good relationship with regulatory authorities;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regulatory approvals, if any;</w:t>
      </w:r>
    </w:p>
    <w:p>
      <w:pPr>
        <w:spacing w:after="0" w:line="130" w:lineRule="exact"/>
        <w:rPr>
          <w:rFonts w:ascii="Times New Roman" w:cs="Times New Roman" w:eastAsia="Times New Roman" w:hAnsi="Times New Roman"/>
          <w:sz w:val="18"/>
          <w:szCs w:val="18"/>
          <w:color w:val="auto"/>
        </w:rPr>
      </w:pPr>
    </w:p>
    <w:p>
      <w:pPr>
        <w:ind w:left="5620" w:right="3040" w:hanging="5045"/>
        <w:spacing w:after="0" w:line="454" w:lineRule="auto"/>
        <w:tabs>
          <w:tab w:leader="none" w:pos="8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and market any of our product candidates that receive regulatory approval; 34</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and acceptance of regenerative medicine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by physicians, patients and institutions;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levels of reimbursement under private and governmental health insurance plans, including Medicare;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sell commercial quantities of any approved products to the market.</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our competitors market products that are more effective, safer or less expensive than our future products or that reach the market sooner than our future products, we may not achieve commercial success. Any inability to compete effectively will adversely impact our business and financial prospects.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manufacturing capacity for NeoCart and our future product candidates, which could inhibit our revenues and the long-term growth prospects of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currently produce materials for clinical trials, including production of NeoCart, at our existing manufacturing facilities in Waltham, Massachusetts, which we have designed and operated to be compliant with FDA, cGMP and the current Good Tissue Practice as and if applicable, requirements. While we believe these facilities provide us with sufficient capacity to meet our expected clinical demand and possibly our commercial launch demand, it is possible that the demand for products could exceed our existing manufacturing capacity. It will become necessary or desirable for us to expand our manufacturing capabilities for our regenerative medicine platform in the future, which may require us to invest significant amounts of capital and to obtain regulatory approvals. If we are unable to meet rising demand for products on a timely basis or unable to maintain cGMP compliance standards, then it is likely that our clients and potential clients will elect to obtain the products from competitors, which could materially and adversely affect the level of our revenues and our prospects for growth.</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current tissue engineering processor (TEP) in our Waltham facility is resource dependent due to the single-unit capacity. We are developing a multi-unit NeoCart reactor design which we believe would alleviate the capacity restraints currently resulting from our single-unit processors and expect to increase capacity to 2,500 units per year at the existing Waltham, Massachusetts facility. We currently expect to begin implementation of a multi-reactor unit during the first year of product commercialization, thus providing adequate capacity to meet expected demand through the first two years of commercialization from our Waltham facility. The FDA may not, however, approve implementation of the multi-unit NeoCart reactor or approval may be delayed which could result in capacity limitation or high unit costs depending upon the length of the delay. We are collaborating with a development corporation to design the multi-unit reactor.</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Components of regenerative medicine products approved for commercial sale or used in late-stage clinical trials must be manufactured in accordance with cGMP. In addition, the manufacturing process of regenerative medicine products may be required to be modified from time to time in response to FDA requests. Manufacture of cell- or tissue-based regenerative medicine products is complex and subjects companies to significant regulatory burdens that may change over time. We may encounter difficulties in the production of our product candidates due to our limited manufacturing experience.</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discovering, developing, acquiring and commercializing additional product candidates, our ability to expand our business will be limited.</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substantial amount of our effort is focused on the continued clinical testing and potential approval of NeoCart and our future product candidates and expanding our product candidates to serve other indications of high unmet medical needs. Research programs to identify other indications require substantial technical, financial and human resources, whether or not any product candidates for other indications are ultimately identified. Our research programs may initially show promise in identifying potential product candidates, yet fail to yield product candidates for clinical development for many reasons, including the following:</w:t>
      </w:r>
    </w:p>
    <w:p>
      <w:pPr>
        <w:spacing w:after="0" w:line="89"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we do not successfully develop and commercialize product candidates for other indications, our business and future prospects may be limited and our business will be more vulnerable to problems that we encounter in developing and commercializing our current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additional expenses in connection with our exclusive channel collaboration arrangement with Intrexon.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our ECC with Intrexon, we are responsible for future research and development expenses of product candidates developed under each such collaboration, the effect of which may increase the level of our overall research and development expenses going forward. We expect to add an additional one to two personnel to support our exclusive channel collaborations with Intrexon.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collaboration with Intrexon is relatively new, and we have incurred $14,000 and $2.3 million as of December 31, 2014 and September 30, 2015, respectively, in connection with this collaboration. In addition, because development activities are determined pursuant to a future joint steering committees comprised of representatives of Intrexon and us, future development costs associated this program may be difficult to anticipate and may exceed our expectations. Our actual cash requirements may vary materially from our current expectations for a number of other factors that may include, but are not limited to, unanticipated technical challenges, changes in the focus and direction of our development activities or adjustments necessitated by changes in the competitive landscape in which we operate. If we are unable to continue to financially support such collaborations due to our own working capital constraints, we may be forced to delay our activities. If we are unable to obtain additional financing on terms acceptable to us or at all, we may be forced to seek licensing partners or discontinue development.</w:t>
      </w:r>
    </w:p>
    <w:p>
      <w:pPr>
        <w:spacing w:after="0" w:line="18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commencing or conducting our clinical trials or in receiving data from third parties or in the completion of clinical testing, which could result in increased costs to us and delay our ability to generate product candidate revenue.</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Before we can initiate clinical trials in the United States for our product candidates, we need to submit the results of preclinical testing to the FDA as part of an IND application, along with other information including information about product candidate chemistry, manufacturing and controls and our proposed clinical trial protocol. We may rely in part on preclinical, clinical and quality data generated by contract research organization and other third parties for regulatory submissions for our product candidates. If these third parties do not make timely regulatory submissions for our product candidates, it will delay our plans for our clinical trials. If those third parties do not make this data available to us, we will likely have to develop all necessary preclinical and clinical data on our own, which will lead to significant delays and increase development costs of the product candidate. In addition, the FDA may require us to conduct additional preclinical testing for any product candidate before it allows us to initiate clinical testing under any IND application, which may lead to additional delays and increase the costs of our preclinical development. Despite the presence of an active IND application for a product candidate, clinical trials can be delayed for a variety of reasons including delays in:</w:t>
      </w:r>
    </w:p>
    <w:p>
      <w:pPr>
        <w:spacing w:after="0" w:line="95"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and training suitable clinical investigators;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and trial sites, the terms of which can be subject to extensive negotiation, may be subject to modification from time to time, and may vary significantly among different contract research organizations and trial sites;</w:t>
      </w:r>
    </w:p>
    <w:p>
      <w:pPr>
        <w:spacing w:after="0" w:line="81"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a product candidate for use in clinical trials, including as a result of transferring the manufacturing of a product candidate to another site or manufacturer;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institutional review board or ethics committee approval to conduct a clinical trial at an existing or prospective site;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and enrolling subjects to participate in a clinical trial; and</w:t>
      </w:r>
    </w:p>
    <w:p>
      <w:pPr>
        <w:spacing w:after="0" w:line="130"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or replacing participants who have initiated a clinical trial but may withdraw due to adverse events from the therapy, insufficient efficacy, fatigue with the clinical trial process, or personal issues.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FDA may also put a clinical trial on clinical hold at any time during product candidate development. In addition, we may voluntarily pause a clinical trial for a variety of reasons. For instance, in 2012 we voluntarily suspended manufacturing operations and paused enrollment of the NeoCart Phase 3 clinical trial upon discovery of discrepancies in the testing procedures used to assess one of the raw materials utilized in the manufacture of NeoCart implants and we could be required in the future to suspend manufacturing due to circumstances out of our control.</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Once a clinical trial has begun, it may also be delayed as a result of ambiguous or negative interim results. Further, a clinical trial may be suspended or terminated by us, an institutional review board, an ethics committee or a data safety monitoring committee overseeing the clinical trial, any of our clinical trial sites with respect to that site or the FDA or other regulatory authorities due to a number of factors, including:</w:t>
      </w:r>
    </w:p>
    <w:p>
      <w:pPr>
        <w:spacing w:after="0" w:line="82"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clinical trial site by the FDA or other regulatory authorities;</w:t>
      </w:r>
    </w:p>
    <w:p>
      <w:pPr>
        <w:spacing w:after="0" w:line="130"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known safety issues that occur at a greater frequency or severity than we anticipate, or any determination that the clinical trial presents unacceptable health risks;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Any delays in the commencement of our clinical trials will delay our ability to pursue regulatory approval for our product candidates. Changes in U.S. and foreign regulatory requirements and guidance also may occur and we may need to amend clinical trial protocols to reflect these changes. Amendments may require us to resubmit our clinical trial protocols to institutional review boards for re-examination, which may affect the costs, timing and likelihood of a successful completion of a clinical trial. If we or any of our future development partners experience delays in the completion of, or if we or any of our future development partners must terminate, any clinical trial of any product candidate our ability to obtain regulatory approval for that product candidate will be delayed and the commercial prospects, if any, for the product candidate may suffer as a result. In addition, many of these factors may also ultimately lead to the denial of regulatory approval of a product candidate.</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Regulatory authorities, including the FDA and the European Medicines Agency, may disagree with our interpretations of data from pre-clinical studies and clinical trials. Regulatory authorities also may approve a product for narrower indications than requested or may grant approval subject to the performance of post-marketing studies for a product. There can be no guarantee that such post-approval studies, if required, will corroborate the results of earlier trials. Furthermore, the market use of such products may show different safety and efficacy profiles to those demonstrated in the trials on which marketing approval was based. Such circumstances could lead to the withdrawal or suspension of marketing approval for the product, which could have a material adverse effect on our business, financial condition, operating results or cash flows. In addition, regulatory authorities may not approve or agree with the labeling claims that are necessary or desirable for the successful commercialization of our products.</w:t>
      </w:r>
    </w:p>
    <w:p>
      <w:pPr>
        <w:spacing w:after="0" w:line="18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NeoCart or any future product candidate that we successfully develop does not achieve broad market acceptance among physicians, patients, healthcare payors and the medical community, the revenue that it generates may be limited.</w:t>
      </w:r>
    </w:p>
    <w:p>
      <w:pPr>
        <w:spacing w:after="0" w:line="51"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Even if NeoCart or our future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approved product candidates will depend on a number of factors, including:</w:t>
      </w:r>
    </w:p>
    <w:p>
      <w:pPr>
        <w:spacing w:after="0" w:line="64"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as demonstrated in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major operators of hospitals and clinics and patients of the product candidate as a safe and effective treatment;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of product candidates seen in a broader patient group, including their use outside the approved indications;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by third parties and government authorities;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 or regenerative medicine products, in general.</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healthcare payors and patients, we may not generate sufficient revenue from that product candidate and may not become or remain profitable. Ethical, social and legal concerns about regenerative medicine products could result in additional regulations restricting or prohibiting the use of our product candidates.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Insurance coverage and reimbursement may be limited or unavailable in certain market segments for our product candidates, which could make it difficult for us to sell our product candidates profitably.</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Market acceptance and sales of NeoCart and our future product candidates will depend significantly on the availability of adequate insurance coverage and reimbursement from third-party payors for any of our product candidates and may be affected by existing and future health care reform measures. Government authorities and third-party payors, such as private health insurers and health maintenance organizations, decide which medical treatments they will pay for and establish reimbursement levels. Reimbursement by a third-party payor may depend upon a number of factors including the third-party payor’s determination that use of a product candidate is:</w:t>
      </w:r>
    </w:p>
    <w:p>
      <w:pPr>
        <w:spacing w:after="0" w:line="89"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NeoCart or our future product candidates. If reimbursement is not available or is available only to limited levels, we may not be able to commercialize certain of our product candidates profitably, or at all, even if approved.</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 number of legislative and regulatory changes to health care systems that could affect our ability to sell our product candidates profitably. In particular, in 2003 the Medicare Modernization Act revised the payment methods for many product candidates under Medicare. This has resulted in lower rates of reimbursement. There have been numerous other federal and state initiatives designed to reduce payment for products.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a result of legislative proposals and the trend toward managed health care in the United States, third-party payors are increasingly attempting to contain healthcare costs by limiting both coverage and the level of reimbursement of new tissue regenerative medicine products. They may also refuse to provide coverage of approved product candidates for medical indications other than those for which the FDA has granted market approvals. As a result, significant uncertainty exists as to whether and how much third-party payors will reimburse patients for their use of newly approved regenerative medicine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products, which in turn will put pressure on the pricing of such products. We expect to experience pricing pressures in connection with the sale of our product candidates due to the trend toward managed health care, the increasing influence of health maintenance organizations, and additional legislative proposals as well as country, regional, or local healthcare budget limitations.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reimbursement agencies in foreign jurisdictions may be more conservative than those in the United States. Accordingly, in markets outside the United States, the reimbursement for our products may be more limited than in the United States and may be insufficient to generate commercially reasonable revenues and profits.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Failure to obtain or maintain adequate reimbursement for any products for which we receive marketing approval will adversely impact our ability to achieve commercial success.</w:t>
      </w:r>
    </w:p>
    <w:p>
      <w:pPr>
        <w:spacing w:after="0" w:line="158"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product liability claims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use of NeoCart and our future product candidates in clinical trials and the sale of any products for which we obtain marketing approval exposes us to the risk of product liability claims. Product liability claims might be brought against us by participants in clinical trials, consumers, healthcare providers, pharmaceutical companies or others selling or otherwise coming into contact with our product candidates and any products for which we obtain marketing approval. There is a risk that our product candidates may induce adverse events, and that such adverse events may not be detected for a long period of time. If we cannot successfully defend against product liability claims, we could incur substantial liability and costs. In addition, regardless of merit or eventual outcome, product liability claims may result in:</w:t>
      </w:r>
    </w:p>
    <w:p>
      <w:pPr>
        <w:spacing w:after="0" w:line="93"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due to related litigation;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carry product liability insurance that we believe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regenerative medicine products or medical treatments that had unanticipated adverse effects. In addition, under some of our agreements with clinical trial sites, we are required to indemnify the sites and their personnel against product liability and other claims. A successful product liability claim or series of claims brought against us or any third parties whom we are required to indemnify could cause our stock price to decline and, if judgments exceed our insurance coverage, could adversely affect our results of operations and business.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course of treatment, patients may suffer adverse events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development and commercialization efforts,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and we may not be able to maintain insurance with adequate levels of coverage. Any significant uninsured liability may require us to pay substantial amounts, which would adversely affect our financial position and results of operations.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fail to enter into agreements with third parties to market and sell any product candidates we may successfully develop, we may not be able to effectively market and sell any such product candidates.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no experience selling and marketing any products. We do not currently have any infrastructure for the sale, marketing and distribution of any of our product candidates once approved, if at all, and we must build this infrastructure in order to commercialize any product candidates for which we may obtain approval in the United States or make arrangements with third parties to perform these functions for us outside of the United States. To successfully commercialize any products that may result from our development programs, we will need to develop these capabilities, either on our own or with others. The establishment and development of a sales force, either by us or jointly with a development partner, or the establishment of a contract sales force to market any product candidates we may develop will be expensive and time consuming and could delay any commercial launch. If we or any of our future development partners are unable to establish sales and marketing capabilities or any other nontechnical capabilities necessary to commercialize any product candidates we may successfully develop, we will need to contract with third parties to market and sell such product candidates. We may not be able to establish arrangements with third parties on acceptable terms, if at all.</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United States and abroad may make it more difficult and costly for us to obtain regulatory approval of our product candidates and to produce, market and distribute our products after approval is obtained.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NeoCart or any future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93"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studies, including clinical studies;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replacement, or discontinuance of one or more of our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additional taxes;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 keeping.</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of these requirements would likely entail substantial time and cost and could adversely harm our business and our financial results. In addition, delays in receipt of or failure to receive regulatory approvals for any future products would harm our business, financial condition and results of operations. We intend to seek approval to market our product candidates in both the United States and in foreign jurisdictions. If we obtain approval in one or more foreign jurisdictions, we will be subject to rules and regulations in those jurisdictions relating to such product candidate. If reimbursement of our future products is unavailable or limited in scope or amount, or if pricing is set at unsatisfactory levels, we may be unable to achieve or sustain profitability.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in order to perform certain aspects of our business, including to support certain aspects of our clinical trials and to supply the NeoCart tissue engineering processor.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to monitor and manage data for our ongoing clinical programs. We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third parties does not relieve us of our regulatory responsibilities. We also rely on third parties to assist in conducting our nonclinical studies in accordance with good laboratory practices. We and our third-party service providers are required to comply with good clinical practices, which are regulations and guidelines enforced by the FDA, as well as comparable foreign regulations and guidelines, for all of our product candidates in clinical development. Regulatory authorities enforce these good clinical practices through periodic inspections of trial sponsors, principal investigators and trial sites. If we or any of our third-party service providers or clinical trial sites fail to comply with applicable good clinical practices,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good clinical practices requirements. In addition, our clinical trials must be conducted with product produced under applicable good manufacturing practices requirements. Failure to comply with these regulations may require us to repeat nonclinical and clinical trials, which would delay the regulatory approval process.</w:t>
      </w:r>
    </w:p>
    <w:p>
      <w:pPr>
        <w:spacing w:after="0" w:line="1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third-party service providers are not our employees, and except for remedies available to us under our agreements with such third parties, we cannot control whether or not they devote sufficient time and resources to our on-going clinical and nonclinical programs. If third-party service providers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we have relied on third parties, our internal capacity to perform these functions is limited. Outsourcing these functions involves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service providers. To the extent we are unable to identify and successfully manage the performance of third-party service providers in the future, our business may be adversely affected. Although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also dependent on third-party suppliers, most of which are sole source suppliers of the components used to manufacture our TEP. If these third-party suppliers do not supply sufficient quantities to us on a timely basis and in accordance with applicable specifications and other regulatory requirements, there could be a significant interruption of our ability to supply, which would adversely affect clinical development or commercial production of the product candidate. Furthermore, if any of these third parties cannot successfully supply TEPs that we require for our production that conforms to our specifications and with regulatory requirements, we will not be able to meet demand, for our product candidates.</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do not expect to have the resources or capacity to commercially manufacture TEPs required to manufacture our proposed product candidates if approved, and will likely continue to be dependent on third-party suppliers. Our dependence on third parties to manufacture and supply us with these TEPs may adversely affect our ability to develop and commercialize our product candidates on a timely basis.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also entered into a supply agreement with Collagen Solutions pursuant to which we will oversee the manufacture of additional collagen used in our manufacture of NeoCart. We currently do not anticipate using any collagen produced by Collage Solutions during our Phase 3 clinical trial, but anticipate needing additional supplies of collagen above those we anticipate being able to produce in-house upon commercialization, if ever. Therefore, we have engaged Collagen Solutions in order to establish a relationship and work with the FDA as appropriate to complete necessary comparability approvals in advance of commercialization, if ever.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development or other strategic partnerships, which could adversely affect our ability to develop and commercialize product candidates.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part of our strategy, we intend to enter into development or other strategic partnerships in the future, including collaborations with major biotechnology or pharmaceutical companies. We face significant competition in seeking appropriate partners and the negotiation process is time consuming and complex. Moreover, we may not be successful in our efforts to establish a development partnership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or third parties may not view our product candidates and programs as having the requisite potential to demonstrate safety and efficacy. Even if we are successful in our efforts to establish development partnerships, the terms that we agree upon may not be favorable to us and we may not be able to maintain such development partnerships if, for example, development or approval of a product candidate is delayed or sales of an approved product candidate are disappointing. Any delay in entering into development partnership agreements related to our product candidates could delay the development and commercialization of our product candidates and reduce their competitiveness if they reach the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if we fail to establish and maintain development or other strategic partnerships related to our product candidates:</w:t>
      </w:r>
    </w:p>
    <w:p>
      <w:pPr>
        <w:spacing w:after="0" w:line="131" w:lineRule="exact"/>
        <w:rPr>
          <w:sz w:val="20"/>
          <w:szCs w:val="20"/>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operations and increase the size of our company and we may experience difficulties in managing any such growth.</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we continue to advance NeoCart towards potential commercialization, increase the number of ongoing product development programs and advance our future product candidates through preclinical studies and clinical trials, we will need to expand our development, regulatory, manufacturing, marketing and sales capabilities and, in some cases, collaborate and contract with third parties to provide these capabilities for us. Our management, personnel and systems currently in place may not be adequate to support this future growth. Our need to effectively manage our operations, growth and various projects requires that we:</w:t>
      </w:r>
    </w:p>
    <w:p>
      <w:pPr>
        <w:spacing w:after="0" w:line="89"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 and recruit new employees or consultants with the requisite expertise and experience;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preclinical and clinical programs effectively;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marketing and sales infrastructure if we receive regulatory approval for any product candidate;</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 including those related to being a public company;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 validate and effectively operate new and expanded manufacturing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successfully manage this growth and increased complexity of operations, our business may be adversely affected.</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hire and effectively integrate new executive officers into our organization, the future development and commercialization of our product candidates may suffer, harming future regulatory approvals, sales of our product candidates or our results of operations.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current management team has only been working together for a relatively short period of time and a number of members of our current management team have been employed by us for less than a year. Adam Gridley joined us as our president and chief executive officer in May 2014; Jonathan Lieber joined us as our chief financial officer in June 2015; Gloria Matthews, DVM, Ph.D., DACVS joined us as our chief medical officer in July 2015; and Stephen Kennedy was promoted to chief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technology officer in July 2015. We may expand our management team in the future. Our future performance will depend significantly on our ability to successfully integrate our new chief financial officer, chief medical officer and other recently and subsequently hired executive officers into our management team, and on those officers’ ability to develop and maintain an effective working relationship. Our failure to integrate recently and subsequently hired executive officers, including our new chief financial officer and chief medical officer, with other members of management could result in inefficiencies in the development and commercialization of our product candidates, harming future regulatory approvals, sales of our product candidates and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 and consultants.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Given the specialized nature of regenerative cell therapy and that it is a relatively new field, there is an inherent scarcity of experienced personnel in the field. We may not be able to attract or retain qualified management (including a new chief executive officer), finance, scientific and clinical personnel and consultants due to the intense competition for qualified personnel and consultants among biotechnology, pharmaceutical and other businesses. If we are not able to attract and retain necessary personnel and consultants to accomplish our business objectives, we may experience constraints that will significantly impede the achievement of our development objectives, our ability to raise additional capital and our ability to implement our business strategy.</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industry has experienced high turnover of management personnel in recent years. We are highly dependent on the development, regulatory, commercialization and business development expertise of our senior management team. The loss of Mr. Gridley or one or more additional executive officers or key employees, could seriously harm our ability to implement our business strategy successfully. While we have entered into employment contracts with each of our executive officers, including our new chief executive officer, any of them could leave our employment at any time, as all of our employees are at-will employees. Replacing key personnel and consultants may be difficult and may take an extended period of time because of the limited number of individuals in our industry with the breadth of skills and experience required to develop, gain regulatory approval of and commercialize products successfully. Competition to hire and retain employees and consultants from this limited pool is intense, and we may be unable to hire, train, retain or motivate these additional key personnel and consultants. Our failure to retain key personnel or consultants could materially harm our business, and the transition to any replacement personnel, particularly at the chief executive officer position, may cause or result in:</w:t>
      </w:r>
    </w:p>
    <w:p>
      <w:pPr>
        <w:spacing w:after="0" w:line="95"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and uncertainty about our business and future direction;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our employees and management;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hiring, motivating and retaining talented and skilled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negotiating, maintaining or consummating business or strategic relationships or transactions.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them in developing products or technologies that may compete with ours. If we are unable to maintain consulting relationships with our key advisors or consultants or if they provide services to our competitors, our development and commercialization efforts will be impaired, and our business will be significantly harmed.</w:t>
      </w:r>
    </w:p>
    <w:p>
      <w:pPr>
        <w:spacing w:after="0" w:line="1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 requirements for publicly traded companies.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public company, we will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and related rules, our management will be required to report upon the effectiveness of our internal control over financial reporting. When and if we are a “large accelerated filer” or an “accelerated filer” and are no longer an “emerging growth company,” each as defined in the Securities Exchange Act, our independent registered public accounting firm will be required to attest to the effectiveness of our internal control over financial reporting. However, for so long as we remain an emerging growth company, we intend to take advantage of certain exemptions from various reporting requirements that are applicable to public companies that are not emerging growth companies, including not being required to comply with the auditor attestation requirements of Section 404 for a period of no more than five years.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we need to: upgrade our systems, including information technology; implement additional financial and management controls, reporting systems and procedures; and hire additional accounting and finance staff.</w:t>
      </w:r>
    </w:p>
    <w:p>
      <w:pPr>
        <w:spacing w:after="0" w:line="18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over financial reporting and may identify additional material weaknesses in the future that may cause us to fail to meet our reporting obligations or result in material misstatements of our financial statements.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management team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course of preparing for our initial public offering in 2013, our management team determined that we had material weaknesses in our internal control over financial reporting. The material weaknesses were as follows:</w:t>
      </w:r>
    </w:p>
    <w:p>
      <w:pPr>
        <w:spacing w:after="0" w:line="67" w:lineRule="exact"/>
        <w:rPr>
          <w:sz w:val="20"/>
          <w:szCs w:val="20"/>
          <w:color w:val="auto"/>
        </w:rPr>
      </w:pPr>
    </w:p>
    <w:p>
      <w:pPr>
        <w:ind w:left="900" w:right="66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controls were not in place to appropriately segregate duties in areas such as journal entries, cash disbursements, impairment of intangible assets and the calculation and recording of income taxes.</w:t>
      </w:r>
    </w:p>
    <w:p>
      <w:pPr>
        <w:spacing w:after="0" w:line="67"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controls and procedures over the accounting for and reporting of complex accounting matters were not effectively designed due to a failure to design and implement appropriate policies and procedures to ensure that the accounting and valuation of complex debt and equity transactions is in accordance with GAAP.</w:t>
      </w:r>
    </w:p>
    <w:p>
      <w:pPr>
        <w:spacing w:after="0" w:line="81"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controls were not effectively implemented in the financial statement close process to ensure that proper cut-off of accrued expenses was achieved at interim periods.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remediated the material weaknesses noted above in the second and third bullet points which related to the nine month period ended September 30, 2013, and we have remediated the material weakness identified in the first bullet point above relating to segregation of duties which related to the period ended December 31, 2013. However, we cannot assure you that our remediated measures will be sufficient or that we will not have other material weaknesses or significant deficiencies in our internal control over financial reporting. If we identify any material weaknesses or significant deficiencies that may exist, the accuracy and timing of our financial reporting may be adversely affected, we may be unable to maintain compliance with securities law requirements regarding timely filing of periodic reports in addition to applicable stock exchange listing requirements, and our stock price may decline materially as a result.</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Historically, we have not had sufficient accounting and supervisory personnel with the appropriate level of technical accounting experience and training necessary, or adequate formally documented accounting policies and procedures, to support effective internal control and appropriate segregation of duties. We have commenced the process of formally documenting, reviewing and improving our internal control over financial reporting. We have made efforts to improve our internal control and accounting policies and procedures. These efforts include hiring new accounting personnel and engaging external temporary resources to supplement our accounting function until full time accounting personnel can be hired.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Section 404(a) of the Sarbanes-Oxley Act, we will be required to furnish a report by our management on our internal control over financial reporting. We have begun the process of documenting and evaluating our system of internal control over financial reporting necessary for our management to issue this report. However, we anticipate that we will need to retain additional finance capabilities and build our financial infrastructure as we transition to operating as a public company, including complying with the requirements of Section 404 of the Sarbanes-Oxley Act. We continue to improve our financial infrastructure with the retention of additional financial and accounting capabilities, the enhancement of internal control and additional training for our financial and accounting staff.</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Until we are able to expand our finance and administrative capabilities and establish necessary financial reporting infrastructure, we may not be able to prepare and disclose, in a timely manner, our financial statements and other required disclosures or comply with the Sarbanes-Oxley Act or existing or new reporting requirements. If we cannot provide reliable financial reports or prevent fraud, our business and results of operations could be harmed and investors could lose confidence in our reported financial information.</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an acquisition, reorganization or business combination, we will incur a variety of risks that could adversely affect our business operations or our stockholders.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From time to time we have considered, and we will continue to consider in the future, strategic business initiatives intended to further the expansion and development of our business. These initiatives may include acquiring businesses, technologies or products or entering into a business combination with another company. For instance, in 2011, we acquired ProChon Biotech Ltd. Although we intend to evaluate and consider acquisitions, reorganizations and business combinations in the future, we have no agreements or understandings with respect to any acquisition, reorganization or business combination at this time. Any acquisitions we undertake, including our prior acquisition of ProChon Biotech Ltd., will likely be accompanied by business risks which may include:</w:t>
      </w:r>
    </w:p>
    <w:p>
      <w:pPr>
        <w:spacing w:after="0" w:line="93"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acquisition on our financial and strategic position and reputation;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reprioritize our development programs and even cease development and commercialization of our product candidates;</w:t>
      </w:r>
    </w:p>
    <w:p>
      <w:pPr>
        <w:spacing w:after="0" w:line="130" w:lineRule="exact"/>
        <w:rPr>
          <w:rFonts w:ascii="Times New Roman" w:cs="Times New Roman" w:eastAsia="Times New Roman" w:hAnsi="Times New Roman"/>
          <w:sz w:val="18"/>
          <w:szCs w:val="18"/>
          <w:color w:val="auto"/>
        </w:rPr>
      </w:pPr>
    </w:p>
    <w:p>
      <w:pPr>
        <w:ind w:left="900" w:right="68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certain known or unknown liabilities of the acquired business, including litigation-related liabilities;</w:t>
      </w:r>
    </w:p>
    <w:p>
      <w:pPr>
        <w:spacing w:after="0" w:line="130"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experience in new markets, new business culture, products or technologies or an initial dependence on unfamiliar distribution partners;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will pay more than the value we derive from the acquisition;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customers, partners or suppliers of the acquired business;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the acquired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could harm our business, results of operations or financial condition.</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addition to the risks commonly encountered in the acquisition of a business or assets as described above, we may also experience risks relating to the challenges and costs of evaluating or closing a transaction, including distraction of our management team from normal business operations. The risks described above may be exacerbated as a result of managing multiple acquisitions at once.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foreseeable future and may never achieve profitability. To the extent that we continue to generate taxable losses, unused losses will carry forward to offset future taxable income, if any, until such unused losses expire. We may be unable to use these losses to offset income before such unused losses expire. Under Section 382 and 383 of the Internal Revenue Code (Code), utilization of net operating losses and research and development credit carryforwards may be subject to a substantial annual limitation due to ownership change limitations that have occurred or that could occur in the future. In general an “ownership change” as defined by section 382 of the Code results from a transaction or series of transactions over a three year period resulting in an ownership change of more than 50 percentage points of the outstanding stock of a company by certain stockholders. We have in the past experienced ownership changes that have resulted in limitations on the use of a portion of our net operating loss carryforwards. If we experience further ownership changes, our ability to utilize our net operating loss carryforwards could be further limited.</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development partners, third-party clinical research organizations or other contractors or consultants, may fail or suffer security breaches, which could result in a material disruption of our product development programs.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development partners, third-party clinical research organizations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any of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8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 We may incur significant costs complying with environmental laws and regulations.</w:t>
      </w:r>
    </w:p>
    <w:p>
      <w:pPr>
        <w:spacing w:after="0" w:line="5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research and development and manufacturing processes involve the controlled use of hazardous materials, including chemicals and biological materials. Our operations produce hazardous waste products. We cannot eliminate the risk of accidental contamination or discharge and any resultant injury from these materials. We may be sued for any injury or contamination that results from our use or the use by third parties of these materials, and our liability may exceed our insurance coverage and our total assets. Federal, state and local laws and regulations govern the use, manufacture, storage, handling and disposal of these hazardous materials and specified waste products, as well as the discharge of pollutants into the environment and human health and safety matters.</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Compliance with environmental laws and regulations may be expensive and may impair our research, development and production efforts. If we fail to comply with these requirements, we could incur substantial costs, including civil or criminal fines and penalties, clean-up costs or capital expenditures for control equipment or operational changes necessary to achieve and maintain compliance. In addition, we cannot predict the impact on our business of new or amended environmental laws or regulations or any changes in the way existing and future laws and regulations are interpreted and enforced.</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the regulations of the FDA or foreign regulators, failure to provide accurate information to regulatory authorities, failure to comply with manufacturing standards we have established, failure to comply with federal and state health care fraud and abuse laws and regulations in the United States and abroad, failure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marketing and promotion, sales commission, customer incentive programs and other business arrangements. Employee misconduct could also involve the improper use of information obtained in the course of clinical trials, which could result in regulatory sanctions and cause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during the course of our operations our directors, executives and employees may have access to material, nonpublic information regarding our business, our results of operations or potential transactions we are considering. We may not be able to prevent a director, executive or employee from trading in our common stock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1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Costs associated with being a public reporting company are significant, and public reporting requirements divert significant company resources and management attention.</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and the other rules and regulations of the SEC.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directors’ and officers’ insurance, on acceptable terms.</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catastrophic events, and to interruption by manmade problems such as terrorism. If any of our manufacturing, processing or storage facilities are damaged or destroyed, our business and prospects would be adversely affected.</w:t>
      </w:r>
    </w:p>
    <w:p>
      <w:pPr>
        <w:spacing w:after="0" w:line="6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 significant natural disaster, such as an earthquake, fire or flood, or a significant power outage, could have a material adverse impact on our business, operating results and financial condition. If any of our manufacturing, processing or storage facilities, or any of the equipment in such facilities were to be damaged or destroyed, this would force us to delay or halt our clinical trial or commercial production processes. We currently produce materials for our clinical trials at our manufacturing facilities located in Waltham, Massachusetts. If these facilities or the equipment in them are significantly damaged or destroyed, we may not be able to quickly or inexpensively replace our manufacturing capacity. In addition, natural disasters could affect our third-party service providers’ and manufacturers ability to perform services and provide materials for us on a timely basis. If these third parties do not successfully carry out their contractual duties or meet expected deadlines, our efforts to obtain regulatory approvals for, and to commercialize, our product candidates may be delayed or prevented. For example, if a central laboratory holding all of our clinical product supply were to suffer a catastrophic loss of their facility, we would be required to delay our clinical trials. In addition, acts of terrorism could cause disruptions in our business or the business of our third-party service providers, partners, customers or the economy as a whole.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and security agreement contains operating covenants and restrictions that may restrict our business and financing activities.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party to a loan and security agreement with Silicon Valley Bank, which provides for a line of credit of up to $1.75 million in the aggregate to finance certain equipment purchases. Borrowings under this agreement are secured by a first priority lien over all equipment purchased using the line of credit. This agreement restricts our ability to, among other things:</w:t>
      </w:r>
    </w:p>
    <w:p>
      <w:pPr>
        <w:spacing w:after="0" w:line="82" w:lineRule="exact"/>
        <w:rPr>
          <w:sz w:val="20"/>
          <w:szCs w:val="20"/>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other than our current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our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declare dividends, or, in certain cases, repurchase our stock;</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on subordinated indebtedness.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operating covenants and restrictions in the loan and security agreement, as well as covenants and restrictions in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loan and security agreement or any future financing agreement, which could cause all of the outstanding indebtedness under the facility to become immediately due and payable and terminate all commitments to extend further credit.</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assure you that we will continue to maintain sufficient cash reserves or that our business will ever generate cash flow from operations at levels sufficient to permit us to pay principal, premium, if any, and interest on our indebtedness, or that our cash needs will not increase. If we are unable to generate sufficient cash flow or otherwise obtain funds necessary to make required payments, or if we fail to comply with the various requirements of our loan and security agreement with Silicon Valley Bank, or any indebtedness which we may incur in the future, we would be in default under our agreement with Silicon Valley Bank or other indebtedness we may incur in the future. Any default under our agreement with Silicon Valley Bank, or any indebtedness that we may incur in the future, could have a material adverse effect on our business, results of operations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complete clinical trials and obtain regulatory approval for NeoCart, our business would be significantly harmed.</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completed clinical development for any of our product candidates and will only obtain regulatory approval to commercialize a product candidate if we can demonstrate to the satisfaction of the FDA or comparable foreign regulatory authorities in well-designed and conducted clinical trials that the product candidate is safe, effective, and otherwise meets the appropriate standards required for approval for a particular class of products or indication. Clinical trials are lengthy, complex and extremely expensive processes with uncertain results. A failure of one or more clinical trials may occur at any stage. Of the large number of products in development, only a small percentage successfully complete the FDA regulatory approval process and are commercialized.</w:t>
      </w:r>
    </w:p>
    <w:p>
      <w:pPr>
        <w:spacing w:after="0" w:line="188"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We have never obtained marketing approval from the FDA or any comparable foreign regulatory authority for any product candidate. Our ability to obtain regulatory approval of our product candidates depends on, among other things, whether our clinical trials demonstrate statistically significant efficacy with safety issues that do not potentially outweigh the therapeutic benefit of the product candidates, and whether the regulatory agencies agree that the data from our future clinical trials is sufficient to support approval for any of our product candidates. The final results of our current and future clinical trials may not meet the FDA’s or other regulatory agencies’ requirements to approve a product candidate for marketing, and the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regulatory agencies may otherwise determine that our manufacturing processes or facilities are insufficient to support approval. We may need to conduct more clinical trials than we currently anticipate. Even if we do receive FDA or other regulatory agency approval, we may not be successful in commercializing approved product candidates. If any of these events occur, our business could be materially harmed and the value of our common stock would likely decline.</w:t>
      </w:r>
    </w:p>
    <w:p>
      <w:pPr>
        <w:spacing w:after="0" w:line="15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development of NeoCart could be substantially delayed if the FDA requires us to conduct additional studies or trials or imposes other requirements or restrictions.</w:t>
      </w:r>
    </w:p>
    <w:p>
      <w:pPr>
        <w:spacing w:after="0" w:line="51"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We will need to generate and provide the FDA with comparability data from our new raw material production for the collagen critical raw materials used in our manufacturing process and intended for clinical use. The FDA may also require us to generate additional preclinical or clinical data to support the use of these new critical raw material suppliers in our NeoCart trial. Additionally, the FDA may impose other requirements on the protocol for our NeoCart trial.</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additional requirements may cause further delays in our NeoCart trial which could require us to incur additional development costs, seek funding for these increased costs or delay or cease our clinical development activities for NeoCart. Any inability to advance NeoCart or any other product candidate through clinical development would have a material adverse effect on our business. For example, the recently enacted Food and Drug Administration Safety and Innovation Act made permanent the Pediatric Research Equity Act, which requires a sponsor to conduct pediatric studies for most tissue regeneration products for a new active ingredient, new indication, new dosage form, new dosing regimen or new route of administration. Under the Pediatric Research Equity Act, original NDAs and BLAs and supplements thereto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studies for some or all of the pediatric subpopulations, and it is likely that we will request such a deferral. A deferral may be granted for several reasons, including a finding that the tissue regeneration products is ready for approval for use in adults before pediatric studies are complete or that additional safety or effectiveness data needs to be collected before the pediatric studies begin. The FDA must send a non-compliance letter to any sponsor that fails to submit the required assessment, keep a deferral current or fails to submit a request for approval of a pediatric formulation.</w:t>
      </w:r>
    </w:p>
    <w:p>
      <w:pPr>
        <w:spacing w:after="0" w:line="1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U.S. federal and state laws pertaining to health care fraud and abuse, including anti-kickback, self-referral, false claims and fraud laws, and any violation by us of such laws could result in fines or other penalties.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one or more of our product candidates is approved, we will be subject to U.S. federal and state laws intended to prevent health care fraud and abuse. The federal anti-kickback statute prohibits the offer, receipt, or payment of remuneration in exchange for or to induce the referral of patients or the use of products or services that would be paid for in whole or part by Medicare, Medicaid or other federal health care programs. Remuneration has been broadly defined to include anything of value, including cash, improper discounts, and free or reduced price items and services. Many states have similar laws that apply to their state health care programs as well as private payors. Violations of the anti-kickback laws can result in exclusion from federal health care programs and substantial civil and criminal penalties.</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False Claims Act imposes liability on persons who, among other things, present or cause to be presented false or fraudulent claims for payment by a federal health care program. The False Claims Act has been used to prosecute persons submitting claims for payment that are inaccurate or fraudulent, that are for services not provided as claimed, or for services that are not medically necessary. The False Claims Act includes a whistleblower provision that allows individuals to bring actions on behalf of the federal government and share a portion of the recovery of successful claims. If our marketing or other arrangements were determined to violate the False Claims Act or anti-kickback or related laws, then our revenue could be adversely affected, which would likely harm our business, financial condition and results of operations.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State and federal authorities have aggressively targeted medical technology companies for alleged violations of these anti-fraud statutes, based on improper research or consulting contracts with doctors, certain marketing arrangements that rely on volume-based pricing, off-label marketing schemes and other improper promotional practices. Companies targeted in such prosecutions have paid substantial fines in the hundreds of millions of dollars or more, have been forced to implement extensive corrective action plans or Corporate Integrity Agreements, and have often become subject to consent decrees severely restricting the manner in which they conduct their business. If we become the target of such an investigation or prosecution based on our contractual relationships with providers or institutions, or our marketing and promotional practices, we could face similar sanctions, which would materially harm our business.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Foreign Corrupt Practices Act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Also, the Physician Payment Sunshine Act imposes new reporting and disclosure requirements on drug, device, biologic and medical supply manufacturers for any “transfer of value” made or distributed to prescribers and other healthcare providers. In addition, device and drug manufacturers will also be required to report and disclose any investment interests held by physicians and their immediate family members during the preceding calendar year. Failure to submit required information may result in significant civil monetary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extensive governmental regulation may significantly affect our operating results.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Even if we obtain regulatory approval for some or all of our product candidates, we will continue to be subject to extensive ongoing requirements by the FDA, as well as by a number of foreign, national, state and local agencies.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regulations will impact many aspects of our operations, including testing, research and development, manufacturing, safety, efficacy, labeling, storage, quality control, adverse event reporting, import and export, record keeping, approval, distribution, advertising and promotion of our future products. We must also submit new or supplemental applications and obtain FDA approval for certain changes to an approved product, product labeling or manufacturing process. Application holders must also submit advertising and other promotional material to the FDA and report on ongoing clinical trials. The FDA enforces post-marketing regulatory requirements, including cGMP requirements, through periodic unannounced inspections. We do not know whether we will pass any future FDA inspections. Failure to pass an inspection could disrupt, delay or shut down our manufacturing operations. Failure to comply with applicable regulatory requirements could, among other things, result in:</w:t>
      </w:r>
    </w:p>
    <w:p>
      <w:pPr>
        <w:spacing w:after="0" w:line="95"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judicial enforcement actions;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advertising;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marketing approvals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or suspension of regulatory approvals of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or recalls;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court-ordered injunctions;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detentions;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interruption or suspension of product manufacturing, distribution, marketing and sales;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sanctions.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discovery of previously unknown problems with our product candidates or future products may result in restrictions of the products, including withdrawal from the market. In addition, the FDA may revisit and change its prior determinations with regard to the safety or efficacy of our future products. If the FDA’s position changes, we may be required to change our labeling or cease to manufacture and market our future products. Even prior to any formal regulatory action, we could voluntarily decide to cease the distribution and sale or recall any of our future products if concerns about their safety or efficacy develop.</w:t>
      </w:r>
    </w:p>
    <w:p>
      <w:pPr>
        <w:spacing w:after="0" w:line="18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their regulation of advertising and other promotion, the FDA and the U.S. Federal Trade Commission may issue correspondence alleging that some advertising or promotional practices are false, misleading or deceptive. The FDA and the U.S. Federal Trade Commission are authorized to impose a wide array of sanctions on companies for such advertising and promotion practices, which could result in any of the following:</w:t>
      </w:r>
    </w:p>
    <w:p>
      <w:pPr>
        <w:spacing w:after="0" w:line="82" w:lineRule="exact"/>
        <w:rPr>
          <w:sz w:val="20"/>
          <w:szCs w:val="20"/>
          <w:color w:val="auto"/>
        </w:rPr>
      </w:pPr>
    </w:p>
    <w:p>
      <w:pPr>
        <w:ind w:left="5620" w:right="1460" w:hanging="5045"/>
        <w:spacing w:after="0" w:line="454" w:lineRule="auto"/>
        <w:tabs>
          <w:tab w:leader="none" w:pos="8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incurrence of substantial expenses, including fines, penalties, legal fees and costs to comply with the FDA’s requirements; 50</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required to change in the methods of marketing and selling products;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required to take FDA mandated corrective action, which may include placing advertisements or sending letters to physicians rescinding previous advertisements or promotions;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distribution of products and loss of sales until compliance with the FDA’s position is obtained.</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Improper promotional activities may also lead to investigations by federal or state prosecutors, and result in criminal and civil penalties. If we become subject to any of the above requirements, it could be damaging to our reputation and restrict our ability to sell or market our future products, and our business condition could be adversely affected. We may also incur significant expenses in defending ourselves.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Physicians may prescribe pharmaceutical or biologic products for uses that are not described in a product’s labeling or differ from those tested by us and approved by the FDA. While such “off-label” uses are common and the FDA does not regulate physicians’ choice of treatments, the FDA does restrict a manufacturer’s communications on the subject of off-label use. Companies cannot promote FDA-approved pharmaceutical or biologic products for off-label uses, but under certain limited circumstances they may disseminate to practitioners’ articles published in peer-reviewed journals. To the extent allowed by the FDA, we intend to disseminate peer-reviewed articles on our future products to practitioners. If, however, our activities fail to comply with the FDA’s regulations or guidelines, we may be subject to warnings from, or enforcement action by, the FDA or other regulatory or law enforcement authorities.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Any government investigation of alleged violations of law could require us to expend significant time and resources in response, and could generate negative publicity.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scrutiny.</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qualification testing, post-approval clinical data, labeling and promotional activities for such product, will be subject to continuing and additional requirements of the FDA and other regulatory authorities. These requirements include submissions of safety and other post-marketing information, reports, registration and listing requirements, cGMP requirements relating to quality control, quality assurance and corresponding maintenance of records and documents, and recordkeeping.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The FDA closely regulates the post-approval marketing and promotion of pharmaceutical and biological products to ensure such products are marketed only for the approved indications and in accordance with the provisions of the approved labeling.</w:t>
      </w:r>
    </w:p>
    <w:p>
      <w:pPr>
        <w:spacing w:after="0" w:line="18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problems with our products, manufacturing processes, or failure to comply with regulatory requirements, may lead to various adverse results, including:</w:t>
      </w:r>
    </w:p>
    <w:p>
      <w:pPr>
        <w:spacing w:after="0" w:line="67"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institute a risk evaluation and mitigation strategy to monitor safety of the product post-approval;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issued by the FDA or other regulatory authorities;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 fines, restitution or disgorgement of profits or revenue;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455" w:right="2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revocation or withdrawal of marketing approvals;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these product candidates could have a material adverse effect on our financial condition and results of operations.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Composition-of-matter patents are generally considered to be the strongest form of intellectual property protection as such patents provide protection without regard to any method of use. We cannot be certain that the claims in our patent applications covering composition-of-matter of our product candidates will be considered patentable by the U.S. Patent and Trademark Office and courts in the United States or by the patent offices and courts in foreign countries, nor can we be certain that the claims in our issued composition-of-matter patents will not be found invalid or unenforceable if challenged. Method-of-use patents protect the use of a product for the specified method. This type of patent does not prevent a competitor from making and marketing a product that is identical to our product for a use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67" w:lineRule="exact"/>
        <w:rPr>
          <w:sz w:val="20"/>
          <w:szCs w:val="20"/>
          <w:color w:val="auto"/>
        </w:rPr>
      </w:pPr>
    </w:p>
    <w:p>
      <w:pPr>
        <w:ind w:left="900" w:right="60" w:hanging="325"/>
        <w:spacing w:after="0" w:line="261"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30"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otherwise may not provide any competitive advantage.</w:t>
      </w:r>
    </w:p>
    <w:p>
      <w:pPr>
        <w:spacing w:after="0" w:line="67" w:lineRule="exact"/>
        <w:rPr>
          <w:rFonts w:ascii="Times New Roman" w:cs="Times New Roman" w:eastAsia="Times New Roman" w:hAnsi="Times New Roman"/>
          <w:sz w:val="18"/>
          <w:szCs w:val="18"/>
          <w:color w:val="auto"/>
        </w:rPr>
      </w:pPr>
    </w:p>
    <w:p>
      <w:pPr>
        <w:ind w:left="900" w:right="200" w:hanging="325"/>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treatments that prove successful, as a matter of public policy regarding worldwide health concerns.</w:t>
      </w:r>
    </w:p>
    <w:p>
      <w:pPr>
        <w:spacing w:after="0" w:line="67"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may come upon this or similar information independently. If any of these events occurs or if we otherwise lose protection for our trade secrets or proprietary know-how, the value of this information may be greatly reduced.</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future development or collaborative partners are sued for infringing intellectual property rights of third parties, it will be costly and time consuming, and an unfavorable outcome in that litigation could have a material adverse effect on our business.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success also depends on our ability and the ability of our current or future development or collaborative partners to develop, manufacture, market and sell our product candidates without infringing upon the proprietary rights of third parties. Numerous U.S. and foreign-issued patents and pending patent applications owned by third parties exist in the fields in which we are developing product candidates, some of which may contain claims that overlap with the subject matter of our intellectual property or are directed at our product candidates. When we become aware of patents held by third parties that may implicate the manufacture, development or commercialization of our product candidates, we evaluate our need to license rights to such patents. If we need to license rights from third parties to manufacture, develop or commercialize our product candidates, there can be no assurance that we will be able to obtain a license on commercially reasonable terms or at all.</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Because patent applications can take many years to issue there may be currently pending applications, unknown to us, that may later result in issued patents upon which our product candidates or proprietary technologies may infringe. Similarly, there may be issued patents relevant to our product candidates of which we are not aware.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biologics industry generally. If a third party claims that we or any of our licensors, suppliers or development partners infringe upon a third-party’s intellectual property rights, we may have to:</w:t>
      </w:r>
    </w:p>
    <w:p>
      <w:pPr>
        <w:spacing w:after="0" w:line="67"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licenses that may not be available on commercially reasonable terms, if at all;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an infringing product candidate or redesign our products or processes to avoid infringement;</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in an exceptional case, treble damages and attorneys’ fees, which we may have to pay if a court decides that the product candidate or proprietary technology at issue infringes upon or violates the third-party’s rights;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royalties or fees or grant cross-licenses to our technology; or</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litigation or administrative proceedings that may be costly whether we win or lose, and which could result in a substantial diversion of our financial and management resources.</w:t>
      </w:r>
    </w:p>
    <w:p>
      <w:pPr>
        <w:spacing w:after="0" w:line="158"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Competitors may infringe upon our patents or the patents of our licensors. To counter infringement or unauthorized use, we may be required to file infringement claims, which can be expensive and time consuming. An adverse result in any litigation or defense proceedings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any future patent litigation, interference or other administrative proceedings will result in additional expense and distraction of our personnel. An adverse outcome in such litigation or proceedings may expose us, or any of our future development partners to loss of our proprietary position, expose us to significant liabilities or require us to seek licenses that may not be available on commercially acceptable terms, if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patents could be found invalid or unenforceable if challenged in court which could have a material adverse effect on our business.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we or any of our future development partners were to initiate legal proceedings against a third party to enforce a patent covering one of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 enablement. Grounds for an unenforceability assertion could be an allegation that someone connected with prosecution of the patent withheld relevant information from the U.S. Patent and Trademark Office, or made a misleading statement, during prosecution. Third parties may also raise similar claims before the U.S. Patent and Trademark Office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such product candidate. Such a loss of patent protection would have a material adverse impact on our business.</w:t>
      </w:r>
    </w:p>
    <w:p>
      <w:pPr>
        <w:spacing w:after="0" w:line="1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consultants or independent contractors have wrongfully used or disclosed alleged trade secrets of their other clients or former employers to us, which could subject us to costly litigation.</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is common in the biotechnology industry, we engage the services of consultants to assist us in the development of our product candidates. Many of these consultants were previously employed at, or may have previously or may be currently providing consulting services to, other biotechnology or pharmaceutical companies, including our competitors or potential competitors. We may become subject to claims that our company or a consultant inadvertently or otherwise used or disclosed trade secrets or other information proprietary to their former employers or their former or current clients. Litigation may be necessary to defend against these claims. Even if we are successful in defending against these claims, litigation could result in substantial costs and be a distraction to our management team.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which could materially impair our ability to protect our product candidates.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 technological and legal complexity. Therefore, obtaining and enforcing biotechnology patents is costly, time consuming and inherently uncertain. In addition, Congress recently passed patent reform legislation.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Patent and Trademark Office, the laws and regulations governing patents could change in unpredictable ways that would weaken our ability to obtain new patents or to enforce our existing patents and patents we might obtain in the future.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materially, negatively affect our business.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18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partners or customers in our markets of interest. Over the long term, if we are unable to establish name recognition based on our trademarks and trade names, then we may not be able to compete effectively and our business may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is likely to continue to be, volatile, and you might not be able to sell your shares at or above the price you paid.</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completed our initial public offering in December 2014 at an initial price to the public of $11.00 per share. Subsequently, as of November 10, 2015, our common stock has traded as low as $3.76 per share. The realization of any of the risks described in these risk factors or other unforeseen risks could have a dramatic and adverse effect on the market price of our common stock. The trading price of our common stock is likely to continue to be highly volatile and could be subject to wide fluctuations in response to various factors, some of which are beyond our control. These factors include those discussed elsewhere in this “Risk Factors” section and others such as:</w:t>
      </w:r>
    </w:p>
    <w:p>
      <w:pPr>
        <w:spacing w:after="0" w:line="89" w:lineRule="exact"/>
        <w:rPr>
          <w:sz w:val="20"/>
          <w:szCs w:val="20"/>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failure in initiating, enrolling or completing preclinical studies or clinical trials, or unsatisfactory results of these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us or about our competitors including clinical trial results, regulatory approvals, or new product candidate introductions;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current or future development partner, licensors or product candidate manufacturers;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developments relating to our patents or other proprietary rights or those of our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or biotechnology industries and the economy as a whole;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legislation;</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members of our board of directors, management team or other key personnel, including recruitment of a new chief financial officer;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operating results;</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financial projections we may provide to the public, our failure to meet these projections, or changes in recommendations by any securities analysts that elect to follow our common stock;</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securities analysts’ estimates of our performance, or our failure to meet analysts’ expectations;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contractual lock-up agreements;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potential sales of substantial amounts of our common stock;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or resulting from inconsistent trading volume levels of our shares.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biotechnological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publish unfavorable research about our business, our stock price and trading volume could decline.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and industry analysts publish about us or our business. We currently have limited research coverage by securities analysts. If no additional securities or industry analysts commence coverage of our company, the trading price for our stock could suffer. In the event we obtain additional securities or industry analyst coverage, if one or more of the analysts who covers us downgrades our stock or publishes unfavorable research about our business, or if our clinical trials or operating results fail to meet the analysts’ expectations,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will need to raise additional funding in order to complete the clinical development of, create additional manufacturing capacity and to commercialize NeoCart and to conduct the research and development and clinical and regulatory activities necessary to bring other product candidates to market. To the extent that we raise additional capital by issuing equity securities, the share ownership of existing stockholders will be diluted. Any future debt financing may involve covenants that restrict our operations, including limitations on our ability to incur liens or additional debt, pay dividends, redeem our stock, make certain investments, and engage in certain merger, consolidation, or asset sale transactions. In addition, if we seek funds through arrangements with collaborative partners, these arrangements may require us to relinquish rights to some of our technologies or product candidates or otherwise agree to terms unfavorable to 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and do not intend to pay cash dividends and, consequently, your ability to achieve a return on your investment will depend on appreciation in the price of our common stock.</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we currently intend to retain future earnings, if any, to fund the development and growth of our business. Therefore, you are not likely to receive any dividends on our common stock for the foreseeable future or at all. Since we do not intend to pay dividends, your ability to receive a return on your investment will depend on any future appreciation in the market value of our common stock. There is no guarantee that our common stock will appreciate or even maintain the price at which you have purchased it.</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November 10, 2015, our executive officers, directors, holders of more than 5% of our capital stock and their respective affiliates beneficially owned 74.7% of our outstanding capital stock. These stockholders have the ability to influence us through their ownership position. These stockholders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by existing stockholders, including pursuant to our equity incentive plans, or the perception that such sales may occur, could cause our stock price to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our existing stockholders, particularly our directors and executive officers and the venture capital funds affiliated with our current and former directors, sell substantial amounts of our common stock in the public market, or are perceived by the public market as intending to sell substantial amounts of our common stock, the trading price of our common stock could decline. As of November 10, 2015, we have 13,273,470 outstanding shares of common stock, 2,052,093 of which are beneficially owned by directors, executive officers and other affiliates and will be subject to volume and other limitations under Rule 144 under the Securities Act.</w:t>
      </w:r>
    </w:p>
    <w:p>
      <w:pPr>
        <w:spacing w:after="0" w:line="18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1,233,113 shares that are subject to outstanding options as of November 10, 2015 will become eligible for sale in the public market to the extent permitted by the provisions of various vesting agreements, and Rules 144 and 701 under the Securities Act.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Some of our existing security holders have demand and piggyback rights to require us to register with the SEC up to 6,753,970 shares of our common stock. If we register these shares of common stock, the stockholders would be able to sell those shares freely in the public market, subject to Rule 144 transfer restrictions applicable to affiliates.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registered an additional 1,415,088 shares of our common stock that we may issue under our equity plans. Once we issue these shares, they can be freely sold in the public market upon issuance, contractual lock-up agreements, or Rule 144 transfer restrictions applicable to affiliates.</w:t>
      </w:r>
    </w:p>
    <w:p>
      <w:pPr>
        <w:spacing w:after="0" w:line="15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82" w:lineRule="exact"/>
        <w:rPr>
          <w:sz w:val="20"/>
          <w:szCs w:val="20"/>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w:t>
      </w:r>
    </w:p>
    <w:p>
      <w:pPr>
        <w:spacing w:after="0" w:line="130" w:lineRule="exact"/>
        <w:rPr>
          <w:rFonts w:ascii="Times New Roman" w:cs="Times New Roman" w:eastAsia="Times New Roman" w:hAnsi="Times New Roman"/>
          <w:sz w:val="18"/>
          <w:szCs w:val="18"/>
          <w:color w:val="auto"/>
        </w:rPr>
      </w:pPr>
    </w:p>
    <w:p>
      <w:pPr>
        <w:ind w:left="5620" w:right="3060" w:hanging="5045"/>
        <w:spacing w:after="0" w:line="454" w:lineRule="auto"/>
        <w:tabs>
          <w:tab w:leader="none" w:pos="8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certificate of incorporation and bylaws; 57</w:t>
      </w:r>
    </w:p>
    <w:p>
      <w:pPr>
        <w:sectPr>
          <w:pgSz w:w="11900" w:h="16838" w:orient="portrait"/>
          <w:cols w:equalWidth="0" w:num="1">
            <w:col w:w="11360"/>
          </w:cols>
          <w:pgMar w:left="240" w:top="455" w:right="2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 and</w:t>
      </w:r>
    </w:p>
    <w:p>
      <w:pPr>
        <w:spacing w:after="0" w:line="130"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right="620"/>
        <w:spacing w:after="0" w:line="313" w:lineRule="auto"/>
        <w:rPr>
          <w:sz w:val="20"/>
          <w:szCs w:val="20"/>
          <w:color w:val="auto"/>
        </w:rPr>
      </w:pPr>
      <w:r>
        <w:rPr>
          <w:rFonts w:ascii="Times New Roman" w:cs="Times New Roman" w:eastAsia="Times New Roman" w:hAnsi="Times New Roman"/>
          <w:sz w:val="17"/>
          <w:szCs w:val="17"/>
          <w:color w:val="auto"/>
        </w:rPr>
        <w:t>In addition, Section 203 of the Delaware General Corporation Law may discourage, delay or prevent a change in control of our company. Section 203 imposes certain restrictions on merger, business combinations and other transactions between us and holders of 15% or more of our common stock.</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extended transition period for complying with new or revised financial accounting standards and reduced disclosure and governance requirements applicable to emerging growth companies could make our common stock less attractive to investors.</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Under the Jumpstart Our Business Startups Act, emerging growth companies can delay adopting new or revised accounting standards until such time as those standards apply to private companies. We plan to avail ourselves of this exemption from new or revised accounting standards and, therefore, we may not be subject to the same new or revised accounting standards as other public companies that are not emerging growth companies.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also intend to take advantage of certain other exemptions from various reporting requirements that are applicable to other public companies, including reduced disclosure obligations regarding executive compensation in our periodic reports and proxy statements, exemptions from the requirements of holding a nonbinding advisory stockholder vote on executive compensation and any golden parachute payments not previously approved, exemption from the requirement of auditor attestation on our internal control over financial reporting and exemption from any requirement that may be adopted by the Public Company Accounting Oversight Board regarding mandatory audit firm rotation or a supplement to the auditor’s report providing additional information about the audit and the financial statements (auditor discussion and analysis). If we do, the information that we provide stockholders may be different than what is available with respect to other public companies.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Investors could find our common stock less attractive because we will rely on these exemptions, which may make it more difficult for investors to compare our business with other companies in our industry. If some investors find our common stock less attractive as a result, there may be a less active trading market for our common stock and our stock price may be more volatile. In addition, it may be difficult for us to raise additional capital as and when we need it. If we are unable to do so, our financial condition and results of operations could be materially and adversely affected.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end of the fiscal year in which the market value of our common stock that is held by non-affiliates exceeds $700.0 million as of the end of the second fiscal quarter, (2) the end of the fiscal year in which we have total annual gross revenue of $1.0 billion or more during such fiscal year, (3) the date on which we issue more than $1.0 billion in non-convertible debt in a three-year period or (4) December 31, 2019, the end of the fiscal year following the fifth anniversary of the completion of our initial public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8, 2014, we closed our IPO whereby 5,909,091 shares of common stock were sold at a public offering price of $11.00 per share for an aggregate offering price of $65.0 million. On January 6, 2015, an additional 465,000 shares of common stock were sold at the IPO price of $11.00 per share following the underwriters’ exercise in part of their overallotment option (Underwriters’ Option). The offer and sale of all of the shares in the IPO and pursuant to the Underwriters’ Option were registered under the Securities Act pursuant to a registration statement on Form S-1 (File No. 333- 199202), which was declared effective by the SEC on December 2, 2014. The offering commenced as of December 2, 2014 and did not terminate before all of the securities registered in the registration statement were sold. The syndicate of underwriters was led by Cowen and Company, Needham &amp; Company and Canaccord Genuity as joint book-running managers and BTIG as co-manager. We raised approximately $61.3 million in net proceeds after deducting underwriting discounts and commissions and other offering expenses. No payments were made by us to directors, officers or persons owning ten percent or more of our common stock or to their associates, or to our affiliates, other than payments in the ordinary course of business to officers for salaries and to non-employee directors as compensation for board committee service.</w:t>
      </w:r>
    </w:p>
    <w:p>
      <w:pPr>
        <w:spacing w:after="0" w:line="1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prospectus dated December 2, 2014, filed with the SEC pursuant to Rule 424(b)(4) under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the exhibits filed as part of this Quarterly Report on Form 10-Q is set forth on the Exhibit Index, which is incorporated herein by reference.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455"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Histogenics Corporation</w:t>
      </w:r>
    </w:p>
    <w:p>
      <w:pPr>
        <w:spacing w:after="0" w:line="225"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Dated: November 12, 2015</w:t>
      </w:r>
      <w:r>
        <w:rPr>
          <w:sz w:val="20"/>
          <w:szCs w:val="20"/>
          <w:color w:val="auto"/>
        </w:rPr>
        <w:tab/>
      </w:r>
      <w:r>
        <w:rPr>
          <w:rFonts w:ascii="Times New Roman" w:cs="Times New Roman" w:eastAsia="Times New Roman" w:hAnsi="Times New Roman"/>
          <w:sz w:val="17"/>
          <w:szCs w:val="17"/>
          <w:color w:val="auto"/>
        </w:rPr>
        <w:t>/s/ Adam Gridley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Adam Gridley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Dated: November 12, 2015</w:t>
      </w:r>
      <w:r>
        <w:rPr>
          <w:sz w:val="20"/>
          <w:szCs w:val="20"/>
          <w:color w:val="auto"/>
        </w:rPr>
        <w:tab/>
      </w:r>
      <w:r>
        <w:rPr>
          <w:rFonts w:ascii="Times New Roman" w:cs="Times New Roman" w:eastAsia="Times New Roman" w:hAnsi="Times New Roman"/>
          <w:sz w:val="17"/>
          <w:szCs w:val="17"/>
          <w:color w:val="auto"/>
        </w:rPr>
        <w:t>/s/ Jonathan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Jonathan Lieber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90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900" w:type="dxa"/>
            <w:vAlign w:val="bottom"/>
            <w:gridSpan w:val="3"/>
          </w:tcPr>
          <w:p>
            <w:pPr>
              <w:ind w:left="49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7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Certification of the Chief Executive Officer, as required by Section 302 of the Sarbanes-Oxley Act of 2002</w:t>
            </w:r>
          </w:p>
        </w:tc>
      </w:tr>
      <w:tr>
        <w:trPr>
          <w:trHeight w:val="324"/>
        </w:trPr>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7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the Chief Financial Officer as required by Section 302 of the Sarbanes-Oxley Act of 2002</w:t>
            </w:r>
          </w:p>
        </w:tc>
      </w:tr>
      <w:tr>
        <w:trPr>
          <w:trHeight w:val="324"/>
        </w:trPr>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7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Certifications of the Chief Executive Officer and Chief Financial Officer as required by 18 U.S.C. 1350</w:t>
            </w:r>
          </w:p>
        </w:tc>
      </w:tr>
      <w:tr>
        <w:trPr>
          <w:trHeight w:val="32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7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7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7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7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7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7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certifications attached as Exhibit 32.1 that accompany this Quarterly Report on Form 10-Q is not deemed filed with the Securities and Exchange Commission and is not to be incorporated by reference into any filing of Histogenics Corporation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1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0"/>
          </w:cols>
          <w:pgMar w:left="240" w:top="455" w:right="7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Gridley, certify that:</w:t>
      </w:r>
    </w:p>
    <w:p>
      <w:pPr>
        <w:spacing w:after="0" w:line="131"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Histogenics Corporation;</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280" w:hanging="446"/>
        <w:spacing w:after="0" w:line="266" w:lineRule="auto"/>
        <w:tabs>
          <w:tab w:leader="none" w:pos="9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SEC Release Nos. 33-8238; 34-47986; IC-26068; June 5, 2003];</w:t>
      </w:r>
    </w:p>
    <w:p>
      <w:pPr>
        <w:spacing w:after="0" w:line="130"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12, 2015</w:t>
      </w:r>
      <w:r>
        <w:rPr>
          <w:sz w:val="20"/>
          <w:szCs w:val="20"/>
          <w:color w:val="auto"/>
        </w:rPr>
        <w:tab/>
      </w:r>
      <w:r>
        <w:rPr>
          <w:rFonts w:ascii="Times New Roman" w:cs="Times New Roman" w:eastAsia="Times New Roman" w:hAnsi="Times New Roman"/>
          <w:sz w:val="17"/>
          <w:szCs w:val="17"/>
          <w:color w:val="auto"/>
        </w:rPr>
        <w:t>/s/ Adam Gridley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Adam Gridley</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117"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Lieber, certify that:</w:t>
      </w:r>
    </w:p>
    <w:p>
      <w:pPr>
        <w:spacing w:after="0" w:line="131"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Histogenics Corporation;</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280" w:hanging="446"/>
        <w:spacing w:after="0" w:line="266"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SEC Release Nos. 33-8238; 34-47986; IC-26068; June 5, 2003];</w:t>
      </w:r>
    </w:p>
    <w:p>
      <w:pPr>
        <w:spacing w:after="0" w:line="130"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12, 2015</w:t>
      </w:r>
      <w:r>
        <w:rPr>
          <w:sz w:val="20"/>
          <w:szCs w:val="20"/>
          <w:color w:val="auto"/>
        </w:rPr>
        <w:tab/>
      </w:r>
      <w:r>
        <w:rPr>
          <w:rFonts w:ascii="Times New Roman" w:cs="Times New Roman" w:eastAsia="Times New Roman" w:hAnsi="Times New Roman"/>
          <w:sz w:val="17"/>
          <w:szCs w:val="17"/>
          <w:color w:val="auto"/>
        </w:rPr>
        <w:t>/s/ Jonathan Lieber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Jonathan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420"/>
          </w:cols>
          <w:pgMar w:left="240" w:top="117"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2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Histogenics Corporation (the Company), does hereby certify, to the best of such officer’s knowledge, that:</w:t>
      </w:r>
    </w:p>
    <w:p>
      <w:pPr>
        <w:spacing w:after="0" w:line="162"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2015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6"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12, 2015</w:t>
      </w:r>
      <w:r>
        <w:rPr>
          <w:sz w:val="20"/>
          <w:szCs w:val="20"/>
          <w:color w:val="auto"/>
        </w:rPr>
        <w:tab/>
      </w:r>
      <w:r>
        <w:rPr>
          <w:rFonts w:ascii="Times New Roman" w:cs="Times New Roman" w:eastAsia="Times New Roman" w:hAnsi="Times New Roman"/>
          <w:sz w:val="17"/>
          <w:szCs w:val="17"/>
          <w:color w:val="auto"/>
        </w:rPr>
        <w:t>/s/ Adam Gridley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Adam Gridley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0"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12, 2015</w:t>
      </w:r>
      <w:r>
        <w:rPr>
          <w:sz w:val="20"/>
          <w:szCs w:val="20"/>
          <w:color w:val="auto"/>
        </w:rPr>
        <w:tab/>
      </w:r>
      <w:r>
        <w:rPr>
          <w:rFonts w:ascii="Times New Roman" w:cs="Times New Roman" w:eastAsia="Times New Roman" w:hAnsi="Times New Roman"/>
          <w:sz w:val="17"/>
          <w:szCs w:val="17"/>
          <w:color w:val="auto"/>
        </w:rPr>
        <w:t>/s/ Jonathan Lieber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Jonathan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20"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5"/>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2019-12-29T14:37:34Z</dcterms:created>
  <dcterms:modified xsi:type="dcterms:W3CDTF">2019-12-29T14:37:34Z</dcterms:modified>
</cp:coreProperties>
</file>