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10371d1_nt10k.htm"/>
      <w:bookmarkStart w:id="1" w:name="kstm2410371d1_nt10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 Form 10-K ☐ Form 20-F ☐ Form 11-K ☐ Form 10-Q ☐ Form 10-D ☐ Form N-CEN ☐ Form N-CSR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December 31, 2023</w:t>
      </w:r>
    </w:p>
    <w:p>
      <w:pPr>
        <w:pStyle w:val="TextBody"/>
        <w:bidi w:val="0"/>
        <w:spacing w:before="0" w:after="0"/>
        <w:ind w:left="720" w:right="0" w:firstLine="72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sz w:val="20"/>
              </w:rPr>
            </w:pPr>
            <w:r>
              <w:rPr>
                <w:sz w:val="20"/>
              </w:rPr>
              <w:t>Transition Report on Form 10-K</w:t>
            </w:r>
          </w:p>
        </w:tc>
      </w:tr>
      <w:tr>
        <w:trPr/>
        <w:tc>
          <w:tcPr>
            <w:tcW w:w="30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both"/>
              <w:rPr>
                <w:sz w:val="20"/>
              </w:rPr>
            </w:pPr>
            <w:r>
              <w:rPr>
                <w:sz w:val="20"/>
              </w:rPr>
              <w:t>Transition Report on Form 20-F</w:t>
            </w:r>
          </w:p>
        </w:tc>
      </w:tr>
      <w:tr>
        <w:trPr/>
        <w:tc>
          <w:tcPr>
            <w:tcW w:w="30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both"/>
              <w:rPr>
                <w:sz w:val="20"/>
              </w:rPr>
            </w:pPr>
            <w:r>
              <w:rPr>
                <w:sz w:val="20"/>
              </w:rPr>
              <w:t>Transition Report on Form 11-K</w:t>
            </w:r>
          </w:p>
        </w:tc>
      </w:tr>
      <w:tr>
        <w:trPr/>
        <w:tc>
          <w:tcPr>
            <w:tcW w:w="30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both"/>
              <w:rPr>
                <w:sz w:val="20"/>
              </w:rPr>
            </w:pPr>
            <w:r>
              <w:rPr>
                <w:sz w:val="20"/>
              </w:rPr>
              <w:t>Transition Report on Form 10-K</w:t>
            </w:r>
          </w:p>
        </w:tc>
      </w:tr>
    </w:tbl>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_____________________________________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Instructions (on back page) Before Preparing Form. Please Print or Type.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Nothing in this form shall be construed to imply that the commission has verified any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4805"/>
        <w:gridCol w:w="2480"/>
      </w:tblGrid>
      <w:tr>
        <w:trPr/>
        <w:tc>
          <w:tcPr>
            <w:tcW w:w="4805" w:type="dxa"/>
            <w:tcBorders/>
            <w:vAlign w:val="center"/>
          </w:tcPr>
          <w:p>
            <w:pPr>
              <w:pStyle w:val="TableContents"/>
              <w:bidi w:val="0"/>
              <w:spacing w:before="0" w:after="283"/>
              <w:jc w:val="left"/>
              <w:rPr>
                <w:sz w:val="20"/>
              </w:rPr>
            </w:pPr>
            <w:r>
              <w:rPr>
                <w:sz w:val="20"/>
              </w:rPr>
              <w:t>Full Name of Registrant:</w:t>
            </w:r>
          </w:p>
        </w:tc>
        <w:tc>
          <w:tcPr>
            <w:tcW w:w="2480" w:type="dxa"/>
            <w:tcBorders/>
            <w:vAlign w:val="center"/>
          </w:tcPr>
          <w:p>
            <w:pPr>
              <w:pStyle w:val="TableContents"/>
              <w:bidi w:val="0"/>
              <w:spacing w:before="0" w:after="283"/>
              <w:jc w:val="left"/>
              <w:rPr>
                <w:sz w:val="20"/>
              </w:rPr>
            </w:pPr>
            <w:r>
              <w:rPr>
                <w:sz w:val="20"/>
              </w:rPr>
              <w:t>Ocugen, Inc.</w:t>
            </w:r>
          </w:p>
        </w:tc>
      </w:tr>
      <w:tr>
        <w:trPr/>
        <w:tc>
          <w:tcPr>
            <w:tcW w:w="4805" w:type="dxa"/>
            <w:tcBorders/>
            <w:vAlign w:val="center"/>
          </w:tcPr>
          <w:p>
            <w:pPr>
              <w:pStyle w:val="TableContents"/>
              <w:bidi w:val="0"/>
              <w:spacing w:before="0" w:after="283"/>
              <w:jc w:val="left"/>
              <w:rPr>
                <w:sz w:val="20"/>
              </w:rPr>
            </w:pPr>
            <w:r>
              <w:rPr>
                <w:sz w:val="20"/>
              </w:rPr>
              <w:t>Former Name if Applicable:</w:t>
            </w:r>
          </w:p>
        </w:tc>
        <w:tc>
          <w:tcPr>
            <w:tcW w:w="2480" w:type="dxa"/>
            <w:tcBorders/>
            <w:vAlign w:val="center"/>
          </w:tcPr>
          <w:p>
            <w:pPr>
              <w:pStyle w:val="TableContents"/>
              <w:bidi w:val="0"/>
              <w:spacing w:before="0" w:after="283"/>
              <w:jc w:val="left"/>
              <w:rPr>
                <w:sz w:val="20"/>
              </w:rPr>
            </w:pPr>
            <w:r>
              <w:rPr>
                <w:sz w:val="20"/>
              </w:rPr>
              <w:t>Histogenics Corporation</w:t>
            </w:r>
          </w:p>
        </w:tc>
      </w:tr>
      <w:tr>
        <w:trPr/>
        <w:tc>
          <w:tcPr>
            <w:tcW w:w="4805" w:type="dxa"/>
            <w:tcBorders/>
            <w:vAlign w:val="center"/>
          </w:tcPr>
          <w:p>
            <w:pPr>
              <w:pStyle w:val="TableContents"/>
              <w:bidi w:val="0"/>
              <w:spacing w:before="0" w:after="283"/>
              <w:jc w:val="left"/>
              <w:rPr>
                <w:sz w:val="20"/>
              </w:rPr>
            </w:pPr>
            <w:r>
              <w:rPr>
                <w:sz w:val="20"/>
              </w:rPr>
              <w:t>Address of Principal Executive Office (Street and Number):</w:t>
            </w:r>
          </w:p>
        </w:tc>
        <w:tc>
          <w:tcPr>
            <w:tcW w:w="2480" w:type="dxa"/>
            <w:tcBorders/>
            <w:vAlign w:val="center"/>
          </w:tcPr>
          <w:p>
            <w:pPr>
              <w:pStyle w:val="TableContents"/>
              <w:bidi w:val="0"/>
              <w:spacing w:before="0" w:after="283"/>
              <w:jc w:val="left"/>
              <w:rPr>
                <w:sz w:val="20"/>
              </w:rPr>
            </w:pPr>
            <w:r>
              <w:rPr>
                <w:sz w:val="20"/>
              </w:rPr>
              <w:t>11 Great Valley Parkway</w:t>
            </w:r>
          </w:p>
        </w:tc>
      </w:tr>
      <w:tr>
        <w:trPr/>
        <w:tc>
          <w:tcPr>
            <w:tcW w:w="4805" w:type="dxa"/>
            <w:tcBorders/>
            <w:vAlign w:val="center"/>
          </w:tcPr>
          <w:p>
            <w:pPr>
              <w:pStyle w:val="TableContents"/>
              <w:bidi w:val="0"/>
              <w:spacing w:before="0" w:after="283"/>
              <w:jc w:val="left"/>
              <w:rPr>
                <w:sz w:val="20"/>
              </w:rPr>
            </w:pPr>
            <w:r>
              <w:rPr>
                <w:sz w:val="20"/>
              </w:rPr>
              <w:t>City, State and Zip Code:</w:t>
            </w:r>
          </w:p>
        </w:tc>
        <w:tc>
          <w:tcPr>
            <w:tcW w:w="2480" w:type="dxa"/>
            <w:tcBorders/>
            <w:vAlign w:val="center"/>
          </w:tcPr>
          <w:p>
            <w:pPr>
              <w:pStyle w:val="TableContents"/>
              <w:bidi w:val="0"/>
              <w:spacing w:before="0" w:after="283"/>
              <w:jc w:val="left"/>
              <w:rPr>
                <w:sz w:val="20"/>
              </w:rPr>
            </w:pPr>
            <w:r>
              <w:rPr>
                <w:sz w:val="20"/>
              </w:rPr>
              <w:t>Malvern, Pennsylvania 19355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9"/>
        <w:gridCol w:w="9761"/>
      </w:tblGrid>
      <w:tr>
        <w:trPr/>
        <w:tc>
          <w:tcPr>
            <w:tcW w:w="24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sz w:val="20"/>
              </w:rPr>
            </w:pPr>
            <w:r>
              <w:rPr>
                <w:sz w:val="20"/>
              </w:rPr>
              <w:t>(a)</w:t>
            </w:r>
          </w:p>
        </w:tc>
        <w:tc>
          <w:tcPr>
            <w:tcW w:w="9761" w:type="dxa"/>
            <w:tcBorders/>
            <w:vAlign w:val="center"/>
          </w:tcPr>
          <w:p>
            <w:pPr>
              <w:pStyle w:val="TableContents"/>
              <w:bidi w:val="0"/>
              <w:spacing w:before="0" w:after="283"/>
              <w:jc w:val="both"/>
              <w:rPr>
                <w:sz w:val="20"/>
              </w:rPr>
            </w:pPr>
            <w:r>
              <w:rPr>
                <w:sz w:val="20"/>
              </w:rPr>
              <w:t>The reason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center"/>
              <w:rPr/>
            </w:pPr>
            <w:r>
              <w:rPr/>
              <w:t>☒</w:t>
            </w:r>
          </w:p>
        </w:tc>
        <w:tc>
          <w:tcPr>
            <w:tcW w:w="199" w:type="dxa"/>
            <w:tcBorders/>
            <w:vAlign w:val="center"/>
          </w:tcPr>
          <w:p>
            <w:pPr>
              <w:pStyle w:val="TableContents"/>
              <w:bidi w:val="0"/>
              <w:spacing w:before="0" w:after="283"/>
              <w:jc w:val="both"/>
              <w:rPr>
                <w:sz w:val="20"/>
              </w:rPr>
            </w:pPr>
            <w:r>
              <w:rPr>
                <w:sz w:val="20"/>
              </w:rPr>
              <w:t>(b)</w:t>
            </w:r>
          </w:p>
        </w:tc>
        <w:tc>
          <w:tcPr>
            <w:tcW w:w="9761" w:type="dxa"/>
            <w:tcBorders/>
            <w:vAlign w:val="center"/>
          </w:tcPr>
          <w:p>
            <w:pPr>
              <w:pStyle w:val="TableContents"/>
              <w:bidi w:val="0"/>
              <w:spacing w:before="0" w:after="283"/>
              <w:jc w:val="both"/>
              <w:rPr>
                <w:sz w:val="20"/>
              </w:rPr>
            </w:pPr>
            <w:r>
              <w:rPr>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sz w:val="20"/>
              </w:rPr>
            </w:pPr>
            <w:r>
              <w:rPr>
                <w:sz w:val="20"/>
              </w:rPr>
              <w:t>(c)</w:t>
            </w:r>
          </w:p>
        </w:tc>
        <w:tc>
          <w:tcPr>
            <w:tcW w:w="9761" w:type="dxa"/>
            <w:tcBorders/>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 (the “Company”) has determined that it is unable, without unreasonable effort or expense, to file with the Securities and Exchange Commission its Annual Report on Form 10-K for the year ended December 31, 2023 (the “2023 Form 10-K”) by the prescribed due date for the reasons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financial statements of the Company for the year ended December 31, 2023, the Company identified certain accounting errors relating to the application of U.S. GAAP to certain agreements with one of its business partners related to a collaboration agreement. As a result, the Company intends to restate its financial statements for the year ended December 31, 2022 and for each of the first three quarters of 2022 and 2023 in the 2023 Form 10-K, the review and preparation of which is currently ongoing. Given the scope of the process to prepare the restatements and related disclosures, the Company requires additional time to prepare and review its financial statements and other disclosures in its 2023 Form 10-K. Therefore, the Company is unable to complete and file the 2023 Form 10-K by the required due date of April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identified a material weakness in its internal control over financial reporting and, as a result, ineffective disclosure controls and procedures. The Company is continuing to evaluate its internal control over financial reporting and expects to report its remediation plan and further information regarding the material weakness in the 2023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--OTHER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Name and telephone number of person to contact in regard to this notification:</w:t>
      </w:r>
    </w:p>
    <w:p>
      <w:pPr>
        <w:pStyle w:val="TextBody"/>
        <w:bidi w:val="0"/>
        <w:spacing w:before="0" w:after="0"/>
        <w:ind w:left="0" w:right="0" w:firstLine="720"/>
        <w:jc w:val="left"/>
        <w:rPr>
          <w:caps w:val="false"/>
          <w:smallCaps w:val="false"/>
        </w:rPr>
      </w:pPr>
      <w:r>
        <w:rPr>
          <w:caps w:val="false"/>
          <w:smallCaps w:val="false"/>
        </w:rPr>
        <w:t> </w:t>
      </w:r>
    </w:p>
    <w:tbl>
      <w:tblPr>
        <w:tblW w:w="4455" w:type="dxa"/>
        <w:jc w:val="left"/>
        <w:tblInd w:w="0" w:type="dxa"/>
        <w:tblLayout w:type="fixed"/>
        <w:tblCellMar>
          <w:top w:w="0" w:type="dxa"/>
          <w:left w:w="0" w:type="dxa"/>
          <w:bottom w:w="28" w:type="dxa"/>
          <w:right w:w="0" w:type="dxa"/>
        </w:tblCellMar>
      </w:tblPr>
      <w:tblGrid>
        <w:gridCol w:w="1625"/>
        <w:gridCol w:w="60"/>
        <w:gridCol w:w="995"/>
        <w:gridCol w:w="60"/>
        <w:gridCol w:w="1715"/>
      </w:tblGrid>
      <w:tr>
        <w:trPr/>
        <w:tc>
          <w:tcPr>
            <w:tcW w:w="1625" w:type="dxa"/>
            <w:tcBorders>
              <w:bottom w:val="single" w:sz="8" w:space="0" w:color="000000"/>
            </w:tcBorders>
            <w:vAlign w:val="center"/>
          </w:tcPr>
          <w:p>
            <w:pPr>
              <w:pStyle w:val="TableContents"/>
              <w:bidi w:val="0"/>
              <w:spacing w:before="0" w:after="283"/>
              <w:jc w:val="center"/>
              <w:rPr>
                <w:sz w:val="20"/>
              </w:rPr>
            </w:pPr>
            <w:r>
              <w:rPr>
                <w:sz w:val="20"/>
              </w:rPr>
              <w:t>Michael Breininger</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8" w:space="0" w:color="000000"/>
            </w:tcBorders>
            <w:vAlign w:val="center"/>
          </w:tcPr>
          <w:p>
            <w:pPr>
              <w:pStyle w:val="TableContents"/>
              <w:bidi w:val="0"/>
              <w:spacing w:before="0" w:after="283"/>
              <w:jc w:val="center"/>
              <w:rPr>
                <w:sz w:val="20"/>
              </w:rPr>
            </w:pPr>
            <w:r>
              <w:rPr>
                <w:sz w:val="20"/>
              </w:rPr>
              <w:t xml:space="preserve">(484) </w:t>
            </w:r>
          </w:p>
        </w:tc>
        <w:tc>
          <w:tcPr>
            <w:tcW w:w="60" w:type="dxa"/>
            <w:tcBorders/>
            <w:tcMar>
              <w:bottom w:w="0" w:type="dxa"/>
            </w:tcMar>
            <w:vAlign w:val="center"/>
          </w:tcPr>
          <w:p>
            <w:pPr>
              <w:pStyle w:val="TableContents"/>
              <w:bidi w:val="0"/>
              <w:spacing w:before="0" w:after="283"/>
              <w:jc w:val="center"/>
              <w:rPr/>
            </w:pPr>
            <w:r>
              <w:rPr/>
              <w:t> </w:t>
            </w:r>
          </w:p>
        </w:tc>
        <w:tc>
          <w:tcPr>
            <w:tcW w:w="1715" w:type="dxa"/>
            <w:tcBorders>
              <w:bottom w:val="single" w:sz="8" w:space="0" w:color="000000"/>
            </w:tcBorders>
            <w:vAlign w:val="center"/>
          </w:tcPr>
          <w:p>
            <w:pPr>
              <w:pStyle w:val="TableContents"/>
              <w:bidi w:val="0"/>
              <w:spacing w:before="0" w:after="283"/>
              <w:jc w:val="center"/>
              <w:rPr>
                <w:sz w:val="20"/>
              </w:rPr>
            </w:pPr>
            <w:r>
              <w:rPr>
                <w:sz w:val="20"/>
              </w:rPr>
              <w:t>328-4701</w:t>
            </w:r>
          </w:p>
        </w:tc>
      </w:tr>
      <w:tr>
        <w:trPr/>
        <w:tc>
          <w:tcPr>
            <w:tcW w:w="1625" w:type="dxa"/>
            <w:tcBorders/>
            <w:tcMar>
              <w:bottom w:w="0" w:type="dxa"/>
            </w:tcMar>
            <w:vAlign w:val="center"/>
          </w:tcPr>
          <w:p>
            <w:pPr>
              <w:pStyle w:val="TableContents"/>
              <w:bidi w:val="0"/>
              <w:spacing w:before="0" w:after="283"/>
              <w:jc w:val="center"/>
              <w:rPr>
                <w:sz w:val="20"/>
              </w:rPr>
            </w:pPr>
            <w:r>
              <w:rPr>
                <w:sz w:val="20"/>
              </w:rPr>
              <w:t>(Name)</w:t>
            </w:r>
          </w:p>
        </w:tc>
        <w:tc>
          <w:tcPr>
            <w:tcW w:w="60" w:type="dxa"/>
            <w:tcBorders/>
            <w:tcMar>
              <w:bottom w:w="0" w:type="dxa"/>
            </w:tcMar>
            <w:vAlign w:val="center"/>
          </w:tcPr>
          <w:p>
            <w:pPr>
              <w:pStyle w:val="TableContents"/>
              <w:bidi w:val="0"/>
              <w:spacing w:before="0" w:after="283"/>
              <w:jc w:val="center"/>
              <w:rPr/>
            </w:pPr>
            <w:r>
              <w:rPr/>
              <w:t> </w:t>
            </w:r>
          </w:p>
        </w:tc>
        <w:tc>
          <w:tcPr>
            <w:tcW w:w="995" w:type="dxa"/>
            <w:tcBorders/>
            <w:tcMar>
              <w:bottom w:w="0" w:type="dxa"/>
            </w:tcMar>
            <w:vAlign w:val="center"/>
          </w:tcPr>
          <w:p>
            <w:pPr>
              <w:pStyle w:val="TableContents"/>
              <w:bidi w:val="0"/>
              <w:spacing w:before="0" w:after="283"/>
              <w:jc w:val="center"/>
              <w:rPr>
                <w:sz w:val="20"/>
              </w:rPr>
            </w:pPr>
            <w:r>
              <w:rPr>
                <w:sz w:val="20"/>
              </w:rPr>
              <w:t>(Area Code)</w:t>
            </w:r>
          </w:p>
        </w:tc>
        <w:tc>
          <w:tcPr>
            <w:tcW w:w="60" w:type="dxa"/>
            <w:tcBorders/>
            <w:tcMar>
              <w:bottom w:w="0" w:type="dxa"/>
            </w:tcMar>
            <w:vAlign w:val="center"/>
          </w:tcPr>
          <w:p>
            <w:pPr>
              <w:pStyle w:val="TableContents"/>
              <w:bidi w:val="0"/>
              <w:spacing w:before="0" w:after="283"/>
              <w:jc w:val="center"/>
              <w:rPr/>
            </w:pPr>
            <w:r>
              <w:rPr/>
              <w:t> </w:t>
            </w:r>
          </w:p>
        </w:tc>
        <w:tc>
          <w:tcPr>
            <w:tcW w:w="1715" w:type="dxa"/>
            <w:tcBorders/>
            <w:tcMar>
              <w:bottom w:w="0" w:type="dxa"/>
            </w:tcMar>
            <w:vAlign w:val="center"/>
          </w:tcPr>
          <w:p>
            <w:pPr>
              <w:pStyle w:val="TableContents"/>
              <w:bidi w:val="0"/>
              <w:spacing w:before="0" w:after="283"/>
              <w:jc w:val="center"/>
              <w:rPr>
                <w:sz w:val="20"/>
              </w:rPr>
            </w:pPr>
            <w:r>
              <w:rPr>
                <w:sz w:val="20"/>
              </w:rPr>
              <w:t>(Telephone Number)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set forth in Part III above, the Company is currently not in a position to provide a reasonable estimate of the anticipated changes in its results of operations for the year ended December 31, 2023, compared to its results of operations for the year ended December 31, 2022. However, the Company does not expect the errors to result in any impact on its cash position or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Notification of Late Filing on Form 12b-25 contains “forward-looking statements” within the meaning of Section 27A of the Securities Act of 1933, as amended, and Section 21E of the Securities Exchange Act of 1934, as amended. Words such as “expect,” “will,” “anticipates,” “estimates” and variations of such words and similar future or conditional expressions are intended to identify forward-looking statements. These forward-looking statements include, but are not limited to, statements regarding our expectations regarding the impact on, and the timing of the completion and audit of, the Registrant’s financial statements and the filing of the Form 10-K, which reflect the Registrant’s expectations based upon information presently available to the Registrant and assumptions that it believes to be reasonable. Because such statements are based on the Registrant’s current expectations and are not statements of fact, actual results may differ materially from those projected or estimated and you are cautioned not to place undue reliance on these forward-looking statements. These forward-looking statements are not guarantees of future performance, conditions or results, and involve a number of known and unknown risks, uncertainties, assumptions and other important factors, many of which are outside the Registrant’s control, that could cause actual results or outcomes to differ materially from those discussed in the forward-looking statements. Investors are cautioned not to place undue reliance upon forward looking statements in this notification of late filing. The Registrant undertakes no obligation to revise or update these forward-looking statements to reflect events or circumstances after the date of this filing, except as required by law.</w:t>
      </w:r>
    </w:p>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75"/>
        <w:gridCol w:w="3740"/>
        <w:gridCol w:w="75"/>
      </w:tblGrid>
      <w:tr>
        <w:trPr/>
        <w:tc>
          <w:tcPr>
            <w:tcW w:w="75" w:type="dxa"/>
            <w:tcBorders/>
            <w:vAlign w:val="center"/>
          </w:tcPr>
          <w:p>
            <w:pPr>
              <w:pStyle w:val="TableContents"/>
              <w:bidi w:val="0"/>
              <w:spacing w:before="0" w:after="283"/>
              <w:jc w:val="left"/>
              <w:rPr/>
            </w:pPr>
            <w:r>
              <w:rPr/>
              <w:t> </w:t>
            </w:r>
          </w:p>
        </w:tc>
        <w:tc>
          <w:tcPr>
            <w:tcW w:w="374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Ocugen,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b/>
                <w:sz w:val="20"/>
              </w:rPr>
            </w:pPr>
            <w:r>
              <w:rPr>
                <w:b/>
                <w:sz w:val="20"/>
              </w:rPr>
              <w:t>(Name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1595"/>
        <w:gridCol w:w="320"/>
        <w:gridCol w:w="4100"/>
      </w:tblGrid>
      <w:tr>
        <w:trPr/>
        <w:tc>
          <w:tcPr>
            <w:tcW w:w="1595" w:type="dxa"/>
            <w:tcBorders/>
            <w:vAlign w:val="center"/>
          </w:tcPr>
          <w:p>
            <w:pPr>
              <w:pStyle w:val="TableContents"/>
              <w:bidi w:val="0"/>
              <w:spacing w:before="0" w:after="283"/>
              <w:jc w:val="left"/>
              <w:rPr>
                <w:sz w:val="20"/>
              </w:rPr>
            </w:pPr>
            <w:r>
              <w:rPr>
                <w:sz w:val="20"/>
              </w:rPr>
              <w:t>Date: April 1, 2024</w:t>
            </w:r>
          </w:p>
        </w:tc>
        <w:tc>
          <w:tcPr>
            <w:tcW w:w="320" w:type="dxa"/>
            <w:tcBorders/>
            <w:vAlign w:val="center"/>
          </w:tcPr>
          <w:p>
            <w:pPr>
              <w:pStyle w:val="TableContents"/>
              <w:bidi w:val="0"/>
              <w:spacing w:before="0" w:after="283"/>
              <w:jc w:val="left"/>
              <w:rPr>
                <w:sz w:val="20"/>
              </w:rPr>
            </w:pPr>
            <w:r>
              <w:rPr>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Shankar Musunuri</w:t>
            </w:r>
          </w:p>
        </w:tc>
      </w:tr>
      <w:tr>
        <w:trPr/>
        <w:tc>
          <w:tcPr>
            <w:tcW w:w="15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sz w:val="20"/>
              </w:rPr>
            </w:pPr>
            <w:r>
              <w:rPr>
                <w:sz w:val="20"/>
              </w:rPr>
              <w:t>Shankar Musunuri</w:t>
            </w:r>
          </w:p>
        </w:tc>
      </w:tr>
      <w:tr>
        <w:trPr/>
        <w:tc>
          <w:tcPr>
            <w:tcW w:w="15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sz w:val="20"/>
              </w:rPr>
            </w:pPr>
            <w:r>
              <w:rPr>
                <w:sz w:val="20"/>
              </w:rPr>
              <w:t>Chairman, Chief Executive Officer, &amp; Co-Founder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1128</Words>
  <Characters>6037</Characters>
  <CharactersWithSpaces>7165</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