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706120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723265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5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6"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w:t>
      </w:r>
    </w:p>
    <w:p>
      <w:pPr>
        <w:spacing w:after="0" w:line="1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Pursuant to Section 13 OR 15 (d)</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November 8, 2022</w:t>
      </w:r>
    </w:p>
    <w:p>
      <w:pPr>
        <w:spacing w:after="0" w:line="15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w:t>
      </w:r>
    </w:p>
    <w:p>
      <w:pPr>
        <w:spacing w:after="0" w:line="1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OCUGEN, INC.</w:t>
      </w:r>
    </w:p>
    <w:p>
      <w:pPr>
        <w:spacing w:after="0" w:line="2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8" w:lineRule="exact"/>
        <w:rPr>
          <w:sz w:val="24"/>
          <w:szCs w:val="24"/>
          <w:color w:val="auto"/>
        </w:rPr>
      </w:pPr>
    </w:p>
    <w:tbl>
      <w:tblPr>
        <w:tblLayout w:type="fixed"/>
        <w:tblInd w:w="1060" w:type="dxa"/>
        <w:tblCellMar>
          <w:top w:w="0" w:type="dxa"/>
          <w:left w:w="0" w:type="dxa"/>
          <w:bottom w:w="0" w:type="dxa"/>
          <w:right w:w="0" w:type="dxa"/>
        </w:tblCellMar>
      </w:tblPr>
      <w:tr>
        <w:trPr>
          <w:trHeight w:val="155"/>
        </w:trPr>
        <w:tc>
          <w:tcPr>
            <w:tcW w:w="1780" w:type="dxa"/>
            <w:vAlign w:val="bottom"/>
          </w:tcPr>
          <w:p>
            <w:pPr>
              <w:spacing w:after="0"/>
              <w:rPr>
                <w:sz w:val="13"/>
                <w:szCs w:val="13"/>
                <w:color w:val="auto"/>
              </w:rPr>
            </w:pPr>
          </w:p>
        </w:tc>
        <w:tc>
          <w:tcPr>
            <w:tcW w:w="5680" w:type="dxa"/>
            <w:vAlign w:val="bottom"/>
          </w:tcPr>
          <w:p>
            <w:pPr>
              <w:jc w:val="right"/>
              <w:ind w:right="104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w:t>
            </w:r>
          </w:p>
        </w:tc>
        <w:tc>
          <w:tcPr>
            <w:tcW w:w="1500" w:type="dxa"/>
            <w:vAlign w:val="bottom"/>
          </w:tcPr>
          <w:p>
            <w:pPr>
              <w:spacing w:after="0"/>
              <w:rPr>
                <w:sz w:val="13"/>
                <w:szCs w:val="13"/>
                <w:color w:val="auto"/>
              </w:rPr>
            </w:pPr>
          </w:p>
        </w:tc>
      </w:tr>
      <w:tr>
        <w:trPr>
          <w:trHeight w:val="313"/>
        </w:trPr>
        <w:tc>
          <w:tcPr>
            <w:tcW w:w="1780" w:type="dxa"/>
            <w:vAlign w:val="bottom"/>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6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001-36751</w:t>
            </w:r>
          </w:p>
        </w:tc>
        <w:tc>
          <w:tcPr>
            <w:tcW w:w="150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04-3522315</w:t>
            </w:r>
          </w:p>
        </w:tc>
      </w:tr>
      <w:tr>
        <w:trPr>
          <w:trHeight w:val="126"/>
        </w:trPr>
        <w:tc>
          <w:tcPr>
            <w:tcW w:w="1780" w:type="dxa"/>
            <w:vAlign w:val="bottom"/>
          </w:tcPr>
          <w:p>
            <w:pPr>
              <w:jc w:val="center"/>
              <w:ind w:right="280"/>
              <w:spacing w:after="0" w:line="126" w:lineRule="exact"/>
              <w:rPr>
                <w:sz w:val="20"/>
                <w:szCs w:val="20"/>
                <w:color w:val="auto"/>
              </w:rPr>
            </w:pPr>
            <w:r>
              <w:rPr>
                <w:rFonts w:ascii="Times New Roman" w:cs="Times New Roman" w:eastAsia="Times New Roman" w:hAnsi="Times New Roman"/>
                <w:sz w:val="12"/>
                <w:szCs w:val="12"/>
                <w:color w:val="auto"/>
              </w:rPr>
              <w:t>(State or Other Jurisdiction of</w:t>
            </w:r>
          </w:p>
        </w:tc>
        <w:tc>
          <w:tcPr>
            <w:tcW w:w="5680" w:type="dxa"/>
            <w:vAlign w:val="bottom"/>
          </w:tcPr>
          <w:p>
            <w:pPr>
              <w:ind w:left="2460"/>
              <w:spacing w:after="0" w:line="126" w:lineRule="exact"/>
              <w:rPr>
                <w:sz w:val="20"/>
                <w:szCs w:val="20"/>
                <w:color w:val="auto"/>
              </w:rPr>
            </w:pPr>
            <w:r>
              <w:rPr>
                <w:rFonts w:ascii="Times New Roman" w:cs="Times New Roman" w:eastAsia="Times New Roman" w:hAnsi="Times New Roman"/>
                <w:sz w:val="12"/>
                <w:szCs w:val="12"/>
                <w:color w:val="auto"/>
              </w:rPr>
              <w:t>(Commission</w:t>
            </w:r>
          </w:p>
        </w:tc>
        <w:tc>
          <w:tcPr>
            <w:tcW w:w="1500" w:type="dxa"/>
            <w:vAlign w:val="bottom"/>
          </w:tcPr>
          <w:p>
            <w:pPr>
              <w:jc w:val="center"/>
              <w:ind w:left="300"/>
              <w:spacing w:after="0" w:line="126" w:lineRule="exact"/>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178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rPr>
              <w:t>Incorporation)</w:t>
            </w:r>
          </w:p>
        </w:tc>
        <w:tc>
          <w:tcPr>
            <w:tcW w:w="568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File Number)</w:t>
            </w:r>
          </w:p>
        </w:tc>
        <w:tc>
          <w:tcPr>
            <w:tcW w:w="1500" w:type="dxa"/>
            <w:vAlign w:val="bottom"/>
          </w:tcPr>
          <w:p>
            <w:pPr>
              <w:jc w:val="center"/>
              <w:ind w:left="340"/>
              <w:spacing w:after="0"/>
              <w:rPr>
                <w:sz w:val="20"/>
                <w:szCs w:val="20"/>
                <w:color w:val="auto"/>
              </w:rPr>
            </w:pPr>
            <w:r>
              <w:rPr>
                <w:rFonts w:ascii="Times New Roman" w:cs="Times New Roman" w:eastAsia="Times New Roman" w:hAnsi="Times New Roman"/>
                <w:sz w:val="12"/>
                <w:szCs w:val="12"/>
                <w:color w:val="auto"/>
                <w:w w:val="99"/>
              </w:rPr>
              <w:t>Identification Number)</w:t>
            </w:r>
          </w:p>
        </w:tc>
      </w:tr>
      <w:tr>
        <w:trPr>
          <w:trHeight w:val="336"/>
        </w:trPr>
        <w:tc>
          <w:tcPr>
            <w:tcW w:w="1780" w:type="dxa"/>
            <w:vAlign w:val="bottom"/>
          </w:tcPr>
          <w:p>
            <w:pPr>
              <w:spacing w:after="0"/>
              <w:rPr>
                <w:sz w:val="24"/>
                <w:szCs w:val="24"/>
                <w:color w:val="auto"/>
              </w:rPr>
            </w:pPr>
          </w:p>
        </w:tc>
        <w:tc>
          <w:tcPr>
            <w:tcW w:w="56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11 Great Valley Parkway</w:t>
            </w:r>
          </w:p>
        </w:tc>
        <w:tc>
          <w:tcPr>
            <w:tcW w:w="1500" w:type="dxa"/>
            <w:vAlign w:val="bottom"/>
          </w:tcPr>
          <w:p>
            <w:pPr>
              <w:spacing w:after="0"/>
              <w:rPr>
                <w:sz w:val="24"/>
                <w:szCs w:val="24"/>
                <w:color w:val="auto"/>
              </w:rPr>
            </w:pPr>
          </w:p>
        </w:tc>
      </w:tr>
      <w:tr>
        <w:trPr>
          <w:trHeight w:val="144"/>
        </w:trPr>
        <w:tc>
          <w:tcPr>
            <w:tcW w:w="1780" w:type="dxa"/>
            <w:vAlign w:val="bottom"/>
          </w:tcPr>
          <w:p>
            <w:pPr>
              <w:spacing w:after="0"/>
              <w:rPr>
                <w:sz w:val="12"/>
                <w:szCs w:val="12"/>
                <w:color w:val="auto"/>
              </w:rPr>
            </w:pPr>
          </w:p>
        </w:tc>
        <w:tc>
          <w:tcPr>
            <w:tcW w:w="56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Malvern, Pennsylvania 19355</w:t>
            </w:r>
          </w:p>
        </w:tc>
        <w:tc>
          <w:tcPr>
            <w:tcW w:w="1500" w:type="dxa"/>
            <w:vAlign w:val="bottom"/>
          </w:tcPr>
          <w:p>
            <w:pPr>
              <w:spacing w:after="0"/>
              <w:rPr>
                <w:sz w:val="12"/>
                <w:szCs w:val="12"/>
                <w:color w:val="auto"/>
              </w:rPr>
            </w:pPr>
          </w:p>
        </w:tc>
      </w:tr>
      <w:tr>
        <w:trPr>
          <w:trHeight w:val="148"/>
        </w:trPr>
        <w:tc>
          <w:tcPr>
            <w:tcW w:w="1780" w:type="dxa"/>
            <w:vAlign w:val="bottom"/>
          </w:tcPr>
          <w:p>
            <w:pPr>
              <w:spacing w:after="0"/>
              <w:rPr>
                <w:sz w:val="12"/>
                <w:szCs w:val="12"/>
                <w:color w:val="auto"/>
              </w:rPr>
            </w:pPr>
          </w:p>
        </w:tc>
        <w:tc>
          <w:tcPr>
            <w:tcW w:w="5680" w:type="dxa"/>
            <w:vAlign w:val="bottom"/>
          </w:tcPr>
          <w:p>
            <w:pPr>
              <w:jc w:val="right"/>
              <w:ind w:right="2440"/>
              <w:spacing w:after="0"/>
              <w:rPr>
                <w:sz w:val="20"/>
                <w:szCs w:val="20"/>
                <w:color w:val="auto"/>
              </w:rPr>
            </w:pPr>
            <w:r>
              <w:rPr>
                <w:rFonts w:ascii="Times New Roman" w:cs="Times New Roman" w:eastAsia="Times New Roman" w:hAnsi="Times New Roman"/>
                <w:sz w:val="12"/>
                <w:szCs w:val="12"/>
                <w:b w:val="1"/>
                <w:bCs w:val="1"/>
                <w:color w:val="auto"/>
              </w:rPr>
              <w:t>(484) 328-4701</w:t>
            </w:r>
          </w:p>
        </w:tc>
        <w:tc>
          <w:tcPr>
            <w:tcW w:w="1500" w:type="dxa"/>
            <w:vAlign w:val="bottom"/>
          </w:tcPr>
          <w:p>
            <w:pPr>
              <w:spacing w:after="0"/>
              <w:rPr>
                <w:sz w:val="12"/>
                <w:szCs w:val="12"/>
                <w:color w:val="auto"/>
              </w:rPr>
            </w:pPr>
          </w:p>
        </w:tc>
      </w:tr>
      <w:tr>
        <w:trPr>
          <w:trHeight w:val="155"/>
        </w:trPr>
        <w:tc>
          <w:tcPr>
            <w:tcW w:w="1780" w:type="dxa"/>
            <w:vAlign w:val="bottom"/>
          </w:tcPr>
          <w:p>
            <w:pPr>
              <w:spacing w:after="0"/>
              <w:rPr>
                <w:sz w:val="13"/>
                <w:szCs w:val="13"/>
                <w:color w:val="auto"/>
              </w:rPr>
            </w:pPr>
          </w:p>
        </w:tc>
        <w:tc>
          <w:tcPr>
            <w:tcW w:w="568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(Address, including zip code, and telephone number, including area code, of principal executive office)</w:t>
            </w:r>
          </w:p>
        </w:tc>
        <w:tc>
          <w:tcPr>
            <w:tcW w:w="1500" w:type="dxa"/>
            <w:vAlign w:val="bottom"/>
          </w:tcPr>
          <w:p>
            <w:pPr>
              <w:spacing w:after="0"/>
              <w:rPr>
                <w:sz w:val="13"/>
                <w:szCs w:val="13"/>
                <w:color w:val="auto"/>
              </w:rPr>
            </w:pPr>
          </w:p>
        </w:tc>
      </w:tr>
    </w:tbl>
    <w:p>
      <w:pPr>
        <w:spacing w:after="0" w:line="1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260" w:hanging="214"/>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60" w:hanging="214"/>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60" w:hanging="214"/>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60" w:hanging="214"/>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592455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350" w:right="1440" w:bottom="1440" w:gutter="0" w:footer="0" w:header="0"/>
        </w:sectPr>
      </w:pPr>
    </w:p>
    <w:bookmarkStart w:id="1" w:name="page2"/>
    <w:bookmarkEnd w:id="1"/>
    <w:tbl>
      <w:tblPr>
        <w:tblLayout w:type="fixed"/>
        <w:tblInd w:w="120"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3800" w:type="dxa"/>
            <w:vAlign w:val="bottom"/>
            <w:gridSpan w:val="5"/>
          </w:tcPr>
          <w:p>
            <w:pPr>
              <w:ind w:left="40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3700" w:type="dxa"/>
            <w:vAlign w:val="bottom"/>
          </w:tcPr>
          <w:p>
            <w:pPr>
              <w:spacing w:after="0"/>
              <w:rPr>
                <w:sz w:val="13"/>
                <w:szCs w:val="13"/>
                <w:color w:val="auto"/>
              </w:rPr>
            </w:pPr>
          </w:p>
        </w:tc>
      </w:tr>
      <w:tr>
        <w:trPr>
          <w:trHeight w:val="180"/>
        </w:trPr>
        <w:tc>
          <w:tcPr>
            <w:tcW w:w="3540" w:type="dxa"/>
            <w:vAlign w:val="bottom"/>
          </w:tcPr>
          <w:p>
            <w:pPr>
              <w:jc w:val="center"/>
              <w:ind w:left="66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3"/>
          </w:tcPr>
          <w:p>
            <w:pPr>
              <w:jc w:val="center"/>
              <w:ind w:right="78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3700" w:type="dxa"/>
            <w:vAlign w:val="bottom"/>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0"/>
        </w:trPr>
        <w:tc>
          <w:tcPr>
            <w:tcW w:w="3540" w:type="dxa"/>
            <w:vAlign w:val="bottom"/>
            <w:tcBorders>
              <w:top w:val="single" w:sz="8" w:color="auto"/>
            </w:tcBorders>
          </w:tcPr>
          <w:p>
            <w:pPr>
              <w:jc w:val="center"/>
              <w:ind w:left="660"/>
              <w:spacing w:after="0"/>
              <w:rPr>
                <w:sz w:val="20"/>
                <w:szCs w:val="20"/>
                <w:color w:val="auto"/>
              </w:rPr>
            </w:pPr>
            <w:r>
              <w:rPr>
                <w:rFonts w:ascii="Times New Roman" w:cs="Times New Roman" w:eastAsia="Times New Roman" w:hAnsi="Times New Roman"/>
                <w:sz w:val="12"/>
                <w:szCs w:val="12"/>
                <w:color w:val="auto"/>
                <w:w w:val="99"/>
              </w:rPr>
              <w:t>Common Stock, $0.01 par value per share</w:t>
            </w: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OCGN</w:t>
            </w:r>
          </w:p>
        </w:tc>
        <w:tc>
          <w:tcPr>
            <w:tcW w:w="2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700" w:type="dxa"/>
            <w:vAlign w:val="bottom"/>
            <w:tcBorders>
              <w:top w:val="single" w:sz="8" w:color="auto"/>
            </w:tcBorders>
          </w:tcPr>
          <w:p>
            <w:pPr>
              <w:jc w:val="center"/>
              <w:ind w:right="500"/>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55"/>
        </w:trPr>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700" w:type="dxa"/>
            <w:vAlign w:val="bottom"/>
          </w:tcPr>
          <w:p>
            <w:pPr>
              <w:jc w:val="center"/>
              <w:ind w:right="500"/>
              <w:spacing w:after="0"/>
              <w:rPr>
                <w:sz w:val="20"/>
                <w:szCs w:val="20"/>
                <w:color w:val="auto"/>
              </w:rPr>
            </w:pPr>
            <w:r>
              <w:rPr>
                <w:rFonts w:ascii="Times New Roman" w:cs="Times New Roman" w:eastAsia="Times New Roman" w:hAnsi="Times New Roman"/>
                <w:sz w:val="12"/>
                <w:szCs w:val="12"/>
                <w:color w:val="auto"/>
              </w:rPr>
              <w:t>(The Nasdaq Capital Market)</w:t>
            </w:r>
          </w:p>
        </w:tc>
      </w:tr>
    </w:tbl>
    <w:p>
      <w:pPr>
        <w:spacing w:after="0" w:line="34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0"/>
          <w:szCs w:val="20"/>
          <w:color w:val="auto"/>
        </w:rPr>
      </w:pPr>
    </w:p>
    <w:p>
      <w:pPr>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928370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15240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32385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1061" w:right="399" w:bottom="1440" w:gutter="0" w:footer="0" w:header="0"/>
        </w:sectPr>
      </w:pPr>
    </w:p>
    <w:bookmarkStart w:id="2" w:name="page3"/>
    <w:bookmarkEnd w:id="2"/>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November 8, 2022, Ocugen, Inc. (the "Company") issued a press release announcing its financial results for the quarter ended September 30, 2022. The Company has scheduled a conference call and webcast for 8:30 a.m. eastern time on November 8, 2022 to discuss these financial results and business updates. The Company will use presentation materials in connection with the conference call and webcast, which presentation materials will be posted on the Company's website at www.ocugen.com. Copies of the press release and presentation materials are furnished herewith as Exhibit 99.1 and Exhibit 99.2, respectively, to this Current Report on Form 8-K and incorporated herein by reference.</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information disclosed under Item 2.02 of this Current Report on Form 8-K, including Exhibit 99.1 and Exhibit 99.2, is being furnished and shall not be deemed "filed" for purposes of Section 18 of the Securities Exchange Act of 1934, as amended (the "Exchange Act"), or otherwise subject to the liabilities of that section, and shall not be deemed to be incorporated by reference in any Company filing under the Securities Act of 1933, as amended, or the Exchange Act, except as expressly set forth by specific reference in such filing.</w:t>
      </w:r>
    </w:p>
    <w:p>
      <w:pPr>
        <w:spacing w:after="0" w:line="11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exhibits are being furnished herewith:</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7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95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Document</w:t>
            </w:r>
          </w:p>
        </w:tc>
      </w:tr>
      <w:tr>
        <w:trPr>
          <w:trHeight w:val="124"/>
        </w:trPr>
        <w:tc>
          <w:tcPr>
            <w:tcW w:w="170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0"/>
                <w:szCs w:val="10"/>
                <w:color w:val="auto"/>
              </w:rPr>
            </w:pPr>
          </w:p>
        </w:tc>
        <w:tc>
          <w:tcPr>
            <w:tcW w:w="9520" w:type="dxa"/>
            <w:vAlign w:val="bottom"/>
            <w:tcBorders>
              <w:top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FF"/>
              </w:rPr>
              <w:t>Press Release of Ocugen, Inc. dated November 8, 2022.</w:t>
            </w: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33"/>
        </w:trPr>
        <w:tc>
          <w:tcPr>
            <w:tcW w:w="17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1"/>
                <w:szCs w:val="11"/>
                <w:color w:val="auto"/>
              </w:rPr>
            </w:pPr>
          </w:p>
        </w:tc>
        <w:tc>
          <w:tcPr>
            <w:tcW w:w="952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Earnings Release Presentation issued November 8, 2022.</w:t>
            </w: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160"/>
        </w:trPr>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3"/>
                <w:szCs w:val="13"/>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3"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8, 2022</w:t>
      </w:r>
    </w:p>
    <w:p>
      <w:pPr>
        <w:spacing w:after="0" w:line="1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2"/>
          <w:szCs w:val="12"/>
          <w:color w:val="auto"/>
        </w:rPr>
        <w:t>OCUGEN, INC.</w:t>
      </w:r>
    </w:p>
    <w:p>
      <w:pPr>
        <w:spacing w:after="0" w:line="195" w:lineRule="exact"/>
        <w:rPr>
          <w:sz w:val="20"/>
          <w:szCs w:val="20"/>
          <w:color w:val="auto"/>
        </w:rPr>
      </w:pPr>
    </w:p>
    <w:tbl>
      <w:tblPr>
        <w:tblLayout w:type="fixed"/>
        <w:tblInd w:w="5480" w:type="dxa"/>
        <w:tblCellMar>
          <w:top w:w="0" w:type="dxa"/>
          <w:left w:w="0" w:type="dxa"/>
          <w:bottom w:w="0" w:type="dxa"/>
          <w:right w:w="0" w:type="dxa"/>
        </w:tblCellMar>
      </w:tblPr>
      <w:tr>
        <w:trPr>
          <w:trHeight w:val="155"/>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Shankar Musunuri</w:t>
            </w:r>
          </w:p>
        </w:tc>
      </w:tr>
      <w:tr>
        <w:trPr>
          <w:trHeight w:val="140"/>
        </w:trPr>
        <w:tc>
          <w:tcPr>
            <w:tcW w:w="580" w:type="dxa"/>
            <w:vAlign w:val="bottom"/>
          </w:tcPr>
          <w:p>
            <w:pPr>
              <w:spacing w:after="0"/>
              <w:rPr>
                <w:sz w:val="12"/>
                <w:szCs w:val="12"/>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 Shankar Musunuri</w:t>
            </w:r>
          </w:p>
        </w:tc>
      </w:tr>
      <w:tr>
        <w:trPr>
          <w:trHeight w:val="155"/>
        </w:trPr>
        <w:tc>
          <w:tcPr>
            <w:tcW w:w="580" w:type="dxa"/>
            <w:vAlign w:val="bottom"/>
          </w:tcPr>
          <w:p>
            <w:pPr>
              <w:spacing w:after="0"/>
              <w:rPr>
                <w:sz w:val="13"/>
                <w:szCs w:val="1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 Chief Executive Officer and Chairman</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280"/>
          </w:cols>
          <w:pgMar w:left="300" w:top="1151"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Ocugen Provides Business Update &amp; Third Quarter 2022 Financial Results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Conference Call and Webcast Today at 8:30 a.m. ET</w:t>
      </w:r>
    </w:p>
    <w:p>
      <w:pPr>
        <w:spacing w:after="0" w:line="150" w:lineRule="exact"/>
        <w:rPr>
          <w:sz w:val="20"/>
          <w:szCs w:val="20"/>
          <w:color w:val="auto"/>
        </w:rPr>
      </w:pPr>
    </w:p>
    <w:p>
      <w:pPr>
        <w:ind w:left="3280" w:hanging="214"/>
        <w:spacing w:after="0"/>
        <w:tabs>
          <w:tab w:leader="none" w:pos="328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Initiated dosing in the third and final cohort of U.S. Phase 1/2 OCU400 gene therapy clinical trial</w:t>
      </w:r>
    </w:p>
    <w:p>
      <w:pPr>
        <w:spacing w:after="0" w:line="42" w:lineRule="exact"/>
        <w:rPr>
          <w:rFonts w:ascii="Times New Roman" w:cs="Times New Roman" w:eastAsia="Times New Roman" w:hAnsi="Times New Roman"/>
          <w:sz w:val="12"/>
          <w:szCs w:val="12"/>
          <w:color w:val="auto"/>
        </w:rPr>
      </w:pPr>
    </w:p>
    <w:p>
      <w:pPr>
        <w:ind w:left="2760" w:hanging="211"/>
        <w:spacing w:after="0"/>
        <w:tabs>
          <w:tab w:leader="none" w:pos="27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Expanded product pipeline with OCU500—Ocugen’s mucosal COVID-19 vaccine and OCU410ST for Stargardt disease</w:t>
      </w:r>
    </w:p>
    <w:p>
      <w:pPr>
        <w:spacing w:after="0" w:line="38" w:lineRule="exact"/>
        <w:rPr>
          <w:rFonts w:ascii="Times New Roman" w:cs="Times New Roman" w:eastAsia="Times New Roman" w:hAnsi="Times New Roman"/>
          <w:sz w:val="12"/>
          <w:szCs w:val="12"/>
          <w:color w:val="auto"/>
        </w:rPr>
      </w:pPr>
    </w:p>
    <w:p>
      <w:pPr>
        <w:ind w:left="3800" w:hanging="206"/>
        <w:spacing w:after="0"/>
        <w:tabs>
          <w:tab w:leader="none" w:pos="3800" w:val="left"/>
        </w:tabs>
        <w:numPr>
          <w:ilvl w:val="2"/>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Completed enrollment of U.S. Phase 2/3 COVAXIN</w:t>
      </w:r>
      <w:r>
        <w:rPr>
          <w:rFonts w:ascii="Times New Roman" w:cs="Times New Roman" w:eastAsia="Times New Roman" w:hAnsi="Times New Roman"/>
          <w:sz w:val="15"/>
          <w:szCs w:val="15"/>
          <w:i w:val="1"/>
          <w:iCs w:val="1"/>
          <w:color w:val="auto"/>
          <w:vertAlign w:val="superscript"/>
        </w:rPr>
        <w:t>™</w:t>
      </w:r>
      <w:r>
        <w:rPr>
          <w:rFonts w:ascii="Times New Roman" w:cs="Times New Roman" w:eastAsia="Times New Roman" w:hAnsi="Times New Roman"/>
          <w:sz w:val="12"/>
          <w:szCs w:val="12"/>
          <w:i w:val="1"/>
          <w:iCs w:val="1"/>
          <w:color w:val="auto"/>
        </w:rPr>
        <w:t xml:space="preserve"> (BBV152) clinical trial</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Malvern, Pa, November 8, 2022 (GLOBE NEWSWIRE) </w:t>
      </w:r>
      <w:r>
        <w:rPr>
          <w:rFonts w:ascii="Times New Roman" w:cs="Times New Roman" w:eastAsia="Times New Roman" w:hAnsi="Times New Roman"/>
          <w:sz w:val="12"/>
          <w:szCs w:val="12"/>
          <w:color w:val="auto"/>
        </w:rPr>
        <w:t>— Ocugen, Inc. (Ocugen or the Company) (NASDAQ: OCGN), a biotechnology company focused on discovering, developing, and commercializing novel gene and cell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therapies and vaccines, today reported financial results for the quarter ended September 30, 2022, and provided a general business update.</w:t>
      </w:r>
    </w:p>
    <w:p>
      <w:pPr>
        <w:spacing w:after="0" w:line="107"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“We achieved several important milestones in the third quarter of 2022,” said Dr. Shankar Musunuri, Chairman, Chief Executive Officer, and Co-Founder of Ocugen. “We expanded our vaccines pipeline by adding a second asset to combat COVID-19, OCU500, through our exclusive license agreement with Washington University to develop, manufacture, and commercialize a mucosal vaccine in the United States, Europe, and Japan.”</w:t>
      </w:r>
    </w:p>
    <w:p>
      <w:pPr>
        <w:spacing w:after="0" w:line="111"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“Our modifier gene therapy platform has significant potential to address multiple blindness diseases,” said Dr. Musunuri. “The OCU400 clinical trial is on track, and we are also pleased to announce the addition of OCU410ST to our pipeline as a potential therapy for Stargardt disease—an orphan disease.”</w:t>
      </w:r>
    </w:p>
    <w:p>
      <w:pPr>
        <w:spacing w:after="0" w:line="111"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“We continue to deliver on our near-term commitments as we advance our longer-term strategy and goal of bringing solutions to patients with debilitating diseases for whom no appropriate treatment options exist. We are passionate about this goal and anticipate achieving multiple milestones across our programs next year,” Dr. Musunuri concluded.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Business Updates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Vaccines</w:t>
      </w:r>
    </w:p>
    <w:p>
      <w:pPr>
        <w:spacing w:after="0" w:line="38" w:lineRule="exact"/>
        <w:rPr>
          <w:sz w:val="20"/>
          <w:szCs w:val="20"/>
          <w:color w:val="auto"/>
        </w:rPr>
      </w:pPr>
    </w:p>
    <w:p>
      <w:pPr>
        <w:ind w:left="420" w:right="40" w:hanging="212"/>
        <w:spacing w:after="0" w:line="286"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COVAXIN™ — </w:t>
      </w:r>
      <w:r>
        <w:rPr>
          <w:rFonts w:ascii="Times New Roman" w:cs="Times New Roman" w:eastAsia="Times New Roman" w:hAnsi="Times New Roman"/>
          <w:sz w:val="12"/>
          <w:szCs w:val="12"/>
          <w:color w:val="auto"/>
        </w:rPr>
        <w:t>enrollment was completed, and dosing continues, in the Phase 2/3 immuno-bridging and broadening clinical trial. No safety concerns have been identified to date and efficacy is being continuously monitored.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Top line data is expected in early 2023.</w:t>
      </w:r>
    </w:p>
    <w:p>
      <w:pPr>
        <w:spacing w:after="0" w:line="31" w:lineRule="exact"/>
        <w:rPr>
          <w:rFonts w:ascii="Times New Roman" w:cs="Times New Roman" w:eastAsia="Times New Roman" w:hAnsi="Times New Roman"/>
          <w:sz w:val="12"/>
          <w:szCs w:val="12"/>
          <w:color w:val="auto"/>
        </w:rPr>
      </w:pPr>
    </w:p>
    <w:p>
      <w:pPr>
        <w:ind w:left="420" w:right="60" w:hanging="212"/>
        <w:spacing w:after="0" w:line="262"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OCU500 — </w:t>
      </w:r>
      <w:r>
        <w:rPr>
          <w:rFonts w:ascii="Times New Roman" w:cs="Times New Roman" w:eastAsia="Times New Roman" w:hAnsi="Times New Roman"/>
          <w:sz w:val="12"/>
          <w:szCs w:val="12"/>
          <w:color w:val="auto"/>
        </w:rPr>
        <w:t>a novel adenovirus-vectored mucosal vaccine, specifically designed to block COVID-19 infection at the portal of virus entry and that could prevent transmission as well as provide protection against new variants.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approach represents a potential universal booster, regardless of previous COVID-19 vaccination. Obtaining mucosal immunity has been published as a potential way to prevent infection and transmission, thus limiting the origin of new variants. Mucosal vaccines similar to the Company’s approach are already authorized in China and India. Ocugen intends to work closely with government agencies tasked with pandemic preparedness and response to initiate clinical trials.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Gene Therapies</w:t>
      </w:r>
    </w:p>
    <w:p>
      <w:pPr>
        <w:spacing w:after="0" w:line="38"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OCU400</w:t>
      </w:r>
    </w:p>
    <w:p>
      <w:pPr>
        <w:spacing w:after="0" w:line="44" w:lineRule="exact"/>
        <w:rPr>
          <w:rFonts w:ascii="Times New Roman" w:cs="Times New Roman" w:eastAsia="Times New Roman" w:hAnsi="Times New Roman"/>
          <w:sz w:val="12"/>
          <w:szCs w:val="12"/>
          <w:color w:val="auto"/>
        </w:rPr>
      </w:pPr>
    </w:p>
    <w:p>
      <w:pPr>
        <w:ind w:left="860" w:right="200" w:hanging="220"/>
        <w:spacing w:after="0" w:line="281" w:lineRule="auto"/>
        <w:tabs>
          <w:tab w:leader="none" w:pos="857"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Dosing of subjects with </w:t>
      </w:r>
      <w:r>
        <w:rPr>
          <w:rFonts w:ascii="Times New Roman" w:cs="Times New Roman" w:eastAsia="Times New Roman" w:hAnsi="Times New Roman"/>
          <w:sz w:val="12"/>
          <w:szCs w:val="12"/>
          <w:i w:val="1"/>
          <w:iCs w:val="1"/>
          <w:color w:val="auto"/>
        </w:rPr>
        <w:t>NR2E3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RHO</w:t>
      </w:r>
      <w:r>
        <w:rPr>
          <w:rFonts w:ascii="Times New Roman" w:cs="Times New Roman" w:eastAsia="Times New Roman" w:hAnsi="Times New Roman"/>
          <w:sz w:val="12"/>
          <w:szCs w:val="12"/>
          <w:color w:val="auto"/>
        </w:rPr>
        <w:t>-related retinitis pigmentosa in Cohort 2 was completed. Based on a review of safety data by the independent Data and Safety Monitoring Board for the clinical trial, dosing has begun in Cohort 3, and enrollment is expected to be completed by the end of the year.</w:t>
      </w:r>
    </w:p>
    <w:p>
      <w:pPr>
        <w:ind w:left="860" w:hanging="220"/>
        <w:spacing w:after="0"/>
        <w:tabs>
          <w:tab w:leader="none" w:pos="86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current clinical trial will also start enrolling patients with Leber congenital amaurosis associated with </w:t>
      </w:r>
      <w:r>
        <w:rPr>
          <w:rFonts w:ascii="Times New Roman" w:cs="Times New Roman" w:eastAsia="Times New Roman" w:hAnsi="Times New Roman"/>
          <w:sz w:val="12"/>
          <w:szCs w:val="12"/>
          <w:i w:val="1"/>
          <w:iCs w:val="1"/>
          <w:color w:val="auto"/>
        </w:rPr>
        <w:t>CEP290</w:t>
      </w:r>
      <w:r>
        <w:rPr>
          <w:rFonts w:ascii="Times New Roman" w:cs="Times New Roman" w:eastAsia="Times New Roman" w:hAnsi="Times New Roman"/>
          <w:sz w:val="12"/>
          <w:szCs w:val="12"/>
          <w:color w:val="auto"/>
        </w:rPr>
        <w:t xml:space="preserve"> mutations.</w:t>
      </w:r>
    </w:p>
    <w:p>
      <w:pPr>
        <w:spacing w:after="0" w:line="7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OCU410 and OCU410ST — </w:t>
      </w:r>
      <w:r>
        <w:rPr>
          <w:rFonts w:ascii="Times New Roman" w:cs="Times New Roman" w:eastAsia="Times New Roman" w:hAnsi="Times New Roman"/>
          <w:sz w:val="12"/>
          <w:szCs w:val="12"/>
          <w:color w:val="auto"/>
        </w:rPr>
        <w:t>Filings of Investigational New Drug (IND) applications for both dry age-related macular degeneration and Stargardt disease are planned for Q2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Biologicals</w:t>
      </w:r>
    </w:p>
    <w:p>
      <w:pPr>
        <w:spacing w:after="0" w:line="38"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OCU200 — </w:t>
      </w:r>
      <w:r>
        <w:rPr>
          <w:rFonts w:ascii="Times New Roman" w:cs="Times New Roman" w:eastAsia="Times New Roman" w:hAnsi="Times New Roman"/>
          <w:sz w:val="12"/>
          <w:szCs w:val="12"/>
          <w:color w:val="auto"/>
        </w:rPr>
        <w:t>Ocugen is currently executing IND-enabling studies. The filing of an IND application targeting DME is planned for Q1 2023.</w:t>
      </w:r>
    </w:p>
    <w:p>
      <w:pPr>
        <w:sectPr>
          <w:pgSz w:w="11900" w:h="16838" w:orient="portrait"/>
          <w:cols w:equalWidth="0" w:num="1">
            <w:col w:w="11300"/>
          </w:cols>
          <w:pgMar w:left="300" w:top="638" w:right="299" w:bottom="1440" w:gutter="0" w:footer="0" w:header="0"/>
        </w:sectPr>
      </w:pPr>
    </w:p>
    <w:bookmarkStart w:id="5" w:name="page6"/>
    <w:bookmarkEnd w:id="5"/>
    <w:p>
      <w:pPr>
        <w:ind w:left="8"/>
        <w:spacing w:after="0"/>
        <w:rPr>
          <w:sz w:val="20"/>
          <w:szCs w:val="20"/>
          <w:color w:val="auto"/>
        </w:rPr>
      </w:pPr>
      <w:r>
        <w:rPr>
          <w:rFonts w:ascii="Times New Roman" w:cs="Times New Roman" w:eastAsia="Times New Roman" w:hAnsi="Times New Roman"/>
          <w:sz w:val="12"/>
          <w:szCs w:val="12"/>
          <w:u w:val="single" w:color="auto"/>
          <w:color w:val="auto"/>
        </w:rPr>
        <w:t>Cell Therapies</w:t>
      </w:r>
    </w:p>
    <w:p>
      <w:pPr>
        <w:spacing w:after="0" w:line="36" w:lineRule="exact"/>
        <w:rPr>
          <w:sz w:val="20"/>
          <w:szCs w:val="20"/>
          <w:color w:val="auto"/>
        </w:rPr>
      </w:pPr>
    </w:p>
    <w:p>
      <w:pPr>
        <w:ind w:left="428" w:right="220" w:hanging="212"/>
        <w:spacing w:after="0" w:line="246" w:lineRule="auto"/>
        <w:tabs>
          <w:tab w:leader="none" w:pos="42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NeoCart</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xml:space="preserve"> — </w:t>
      </w:r>
      <w:r>
        <w:rPr>
          <w:rFonts w:ascii="Times New Roman" w:cs="Times New Roman" w:eastAsia="Times New Roman" w:hAnsi="Times New Roman"/>
          <w:sz w:val="12"/>
          <w:szCs w:val="12"/>
          <w:color w:val="auto"/>
        </w:rPr>
        <w:t>Ocugen continues to work with the U.S. Food and Drug Administration to finalize the Phase 3 protocol necessary for the clinical development program of NeoCart</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Ocugen is building its own manufacturing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suites to prepare for a NeoCart</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clinical trial and as part of an overall research and development expansion.</w:t>
      </w:r>
    </w:p>
    <w:p>
      <w:pPr>
        <w:spacing w:after="0" w:line="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Third Quarter 2022 Financial Results</w:t>
      </w:r>
    </w:p>
    <w:p>
      <w:pPr>
        <w:spacing w:after="0" w:line="42" w:lineRule="exact"/>
        <w:rPr>
          <w:sz w:val="20"/>
          <w:szCs w:val="20"/>
          <w:color w:val="auto"/>
        </w:rPr>
      </w:pPr>
    </w:p>
    <w:p>
      <w:pPr>
        <w:ind w:left="208" w:right="220" w:hanging="208"/>
        <w:spacing w:after="0" w:line="279" w:lineRule="auto"/>
        <w:tabs>
          <w:tab w:leader="none" w:pos="20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cash, cash equivalents, and restricted cash totaled $101.6 million as of September 30, 2022, compared to $95.1 million as of December 31, 2021. The Company believes that its current cash and cash equivalents balance will enable it to fund its operations into Q4 2023. The Company had 216.7 million shares of common stock outstanding as of September 30, 2022.</w:t>
      </w:r>
    </w:p>
    <w:p>
      <w:pPr>
        <w:spacing w:after="0" w:line="39" w:lineRule="exact"/>
        <w:rPr>
          <w:rFonts w:ascii="Times New Roman" w:cs="Times New Roman" w:eastAsia="Times New Roman" w:hAnsi="Times New Roman"/>
          <w:sz w:val="12"/>
          <w:szCs w:val="12"/>
          <w:color w:val="auto"/>
        </w:rPr>
      </w:pPr>
    </w:p>
    <w:p>
      <w:pPr>
        <w:ind w:left="208" w:right="80" w:hanging="208"/>
        <w:spacing w:after="0" w:line="279" w:lineRule="auto"/>
        <w:tabs>
          <w:tab w:leader="none" w:pos="20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Research and development expenses for the three months ended September 30, 2022, were $15.6 million compared to $6.3 million for the three months ended September 30, 2021. General and administrative expenses for the three months ended September 30, 2022, were $7.5 million compared to $4.5 million for the three months ended September 30, 2021.</w:t>
      </w:r>
    </w:p>
    <w:p>
      <w:pPr>
        <w:spacing w:after="0" w:line="3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Ocugen reported a $0.10 net loss per share for the three months ended September 30, 2022, compared to a $0.05 net loss per share for the three months ended September 30, 2021.</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Conference Call and Webcast Details</w:t>
      </w:r>
    </w:p>
    <w:p>
      <w:pPr>
        <w:spacing w:after="0" w:line="17" w:lineRule="exact"/>
        <w:rPr>
          <w:sz w:val="20"/>
          <w:szCs w:val="20"/>
          <w:color w:val="auto"/>
        </w:rPr>
      </w:pPr>
    </w:p>
    <w:p>
      <w:pPr>
        <w:ind w:left="8" w:right="120"/>
        <w:spacing w:after="0" w:line="260" w:lineRule="auto"/>
        <w:rPr>
          <w:sz w:val="20"/>
          <w:szCs w:val="20"/>
          <w:color w:val="auto"/>
        </w:rPr>
      </w:pPr>
      <w:r>
        <w:rPr>
          <w:rFonts w:ascii="Times New Roman" w:cs="Times New Roman" w:eastAsia="Times New Roman" w:hAnsi="Times New Roman"/>
          <w:sz w:val="12"/>
          <w:szCs w:val="12"/>
          <w:color w:val="auto"/>
        </w:rPr>
        <w:t>Ocugen has scheduled a conference call and webcast for 8:30 a.m. ET today to discuss the financial results and recent business highlights. Ocugen’s senior management team will host the call, which will be open to all listeners. There will also be a question-and-answer session following the prepared remarks.</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Attendees are invited to participate on the call or webcast using the following details: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Dial-in Numbers: </w:t>
      </w:r>
      <w:r>
        <w:rPr>
          <w:rFonts w:ascii="Times New Roman" w:cs="Times New Roman" w:eastAsia="Times New Roman" w:hAnsi="Times New Roman"/>
          <w:sz w:val="12"/>
          <w:szCs w:val="12"/>
          <w:color w:val="auto"/>
        </w:rPr>
        <w:t>(800) 715-9871 for U.S. callers and (646) 307-1963 for international callers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Conference ID: </w:t>
      </w:r>
      <w:r>
        <w:rPr>
          <w:rFonts w:ascii="Times New Roman" w:cs="Times New Roman" w:eastAsia="Times New Roman" w:hAnsi="Times New Roman"/>
          <w:sz w:val="12"/>
          <w:szCs w:val="12"/>
          <w:color w:val="auto"/>
        </w:rPr>
        <w:t>3481499</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Webcast: </w:t>
      </w:r>
      <w:r>
        <w:rPr>
          <w:rFonts w:ascii="Times New Roman" w:cs="Times New Roman" w:eastAsia="Times New Roman" w:hAnsi="Times New Roman"/>
          <w:sz w:val="12"/>
          <w:szCs w:val="12"/>
          <w:color w:val="auto"/>
        </w:rPr>
        <w:t>Available on the events section of the Ocugen investor site</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 replay of the call and archived webcast will be available for approximately 45 days following the event on the Ocugen investor site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About Ocugen, Inc.</w:t>
      </w:r>
    </w:p>
    <w:p>
      <w:pPr>
        <w:spacing w:after="0" w:line="21" w:lineRule="exact"/>
        <w:rPr>
          <w:sz w:val="20"/>
          <w:szCs w:val="20"/>
          <w:color w:val="auto"/>
        </w:rPr>
      </w:pPr>
    </w:p>
    <w:p>
      <w:pPr>
        <w:ind w:left="8" w:right="80"/>
        <w:spacing w:after="0" w:line="253" w:lineRule="auto"/>
        <w:rPr>
          <w:sz w:val="20"/>
          <w:szCs w:val="20"/>
          <w:color w:val="auto"/>
        </w:rPr>
      </w:pPr>
      <w:r>
        <w:rPr>
          <w:rFonts w:ascii="Times New Roman" w:cs="Times New Roman" w:eastAsia="Times New Roman" w:hAnsi="Times New Roman"/>
          <w:sz w:val="12"/>
          <w:szCs w:val="12"/>
          <w:color w:val="auto"/>
        </w:rPr>
        <w:t>Ocugen, Inc. is a biotechnology company focused on discovering, developing, and commercializing novel gene and cell therapies and vaccines that improve health and offer hope for patients across the globe. We are making an impact on patient’s lives through courageous innovation—forging new scientific paths that harness our unique intellectual and human capital. Our breakthrough modifier gene therapy platform has the potential to treat multiple retinal diseases with a single product, and we are advancing research in infectious diseases to support public health and orthopedic diseases to address unmet medical needs. Discover more at www.ocugen.com and follow us on Twitter and LinkedIn.</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Cautionary Note on Forward-Looking Statements</w:t>
      </w:r>
    </w:p>
    <w:p>
      <w:pPr>
        <w:spacing w:after="0" w:line="21" w:lineRule="exact"/>
        <w:rPr>
          <w:sz w:val="20"/>
          <w:szCs w:val="20"/>
          <w:color w:val="auto"/>
        </w:rPr>
      </w:pPr>
    </w:p>
    <w:p>
      <w:pPr>
        <w:ind w:left="8"/>
        <w:spacing w:after="0" w:line="252" w:lineRule="auto"/>
        <w:rPr>
          <w:sz w:val="20"/>
          <w:szCs w:val="20"/>
          <w:color w:val="auto"/>
        </w:rPr>
      </w:pPr>
      <w:r>
        <w:rPr>
          <w:rFonts w:ascii="Times New Roman" w:cs="Times New Roman" w:eastAsia="Times New Roman" w:hAnsi="Times New Roman"/>
          <w:sz w:val="12"/>
          <w:szCs w:val="12"/>
          <w:i w:val="1"/>
          <w:iCs w:val="1"/>
          <w:color w:val="auto"/>
        </w:rPr>
        <w:t>This press release contains forward-looking statements within the meaning of The Private Securities Litigation Reform Act of 1995, which are subject to risks and uncertainties. We may, in some cases, use terms such as “predicts,” “believes,” “potential,” “proposed,” “continue,” “estimates,” “anticipates,” “expects,” “plans,” “intends,” “may,” “could,” “might,” “will,” “should,” or other words that convey uncertainty of future events or outcomes to identify these forward-looking statements. Such statements are subject to numerous important factors, risks, and uncertainties that may cause actual events or results to differ materially from our current expectations. These and other risks and uncertainties are more fully described in our periodic filings with the Securities and Exchange Commission (SEC), including the risk factors described in the section entitled “Risk Factors” in the quarterly and annual reports that we file with the SEC. Any forward-looking statements that we make in this press release speak only as of the date of this press release. Except as required by law, we assume no obligation to update forward-looking statements contained in this press release whether as a result of new information, future events, or otherwise, after the date of this press release.</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Tiffany Hamilton</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Head of Communications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IR@ocugen.com</w:t>
      </w:r>
    </w:p>
    <w:p>
      <w:pPr>
        <w:spacing w:after="0" w:line="4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(Tables to follow)</w:t>
      </w:r>
    </w:p>
    <w:p>
      <w:pPr>
        <w:sectPr>
          <w:pgSz w:w="11900" w:h="16838" w:orient="portrait"/>
          <w:cols w:equalWidth="0" w:num="1">
            <w:col w:w="11308"/>
          </w:cols>
          <w:pgMar w:left="292" w:top="642" w:right="2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OCUGEN, INC.</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260" w:type="dxa"/>
            <w:vAlign w:val="bottom"/>
          </w:tcPr>
          <w:p>
            <w:pPr>
              <w:spacing w:after="0"/>
              <w:rPr>
                <w:sz w:val="11"/>
                <w:szCs w:val="11"/>
                <w:color w:val="auto"/>
              </w:rPr>
            </w:pPr>
          </w:p>
        </w:tc>
        <w:tc>
          <w:tcPr>
            <w:tcW w:w="1400" w:type="dxa"/>
            <w:vAlign w:val="bottom"/>
          </w:tcPr>
          <w:p>
            <w:pPr>
              <w:jc w:val="right"/>
              <w:ind w:right="381"/>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41"/>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4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r>
      <w:tr>
        <w:trPr>
          <w:trHeight w:val="153"/>
        </w:trPr>
        <w:tc>
          <w:tcPr>
            <w:tcW w:w="79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assets</w:t>
            </w: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53"/>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101,602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94,958</w:t>
            </w:r>
          </w:p>
        </w:tc>
      </w:tr>
      <w:tr>
        <w:trPr>
          <w:trHeight w:val="153"/>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5,895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7,688</w:t>
            </w:r>
          </w:p>
        </w:tc>
      </w:tr>
      <w:tr>
        <w:trPr>
          <w:trHeight w:val="142"/>
        </w:trPr>
        <w:tc>
          <w:tcPr>
            <w:tcW w:w="79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107,497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102,646</w:t>
            </w:r>
          </w:p>
        </w:tc>
      </w:tr>
      <w:tr>
        <w:trPr>
          <w:trHeight w:val="153"/>
        </w:trPr>
        <w:tc>
          <w:tcPr>
            <w:tcW w:w="79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1,164</w:t>
            </w:r>
          </w:p>
        </w:tc>
      </w:tr>
      <w:tr>
        <w:trPr>
          <w:trHeight w:val="153"/>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151</w:t>
            </w:r>
          </w:p>
        </w:tc>
      </w:tr>
      <w:tr>
        <w:trPr>
          <w:trHeight w:val="153"/>
        </w:trPr>
        <w:tc>
          <w:tcPr>
            <w:tcW w:w="79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assets</w:t>
            </w: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4,225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1,800</w:t>
            </w:r>
          </w:p>
        </w:tc>
      </w:tr>
      <w:tr>
        <w:trPr>
          <w:trHeight w:val="162"/>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116,239</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105,761</w:t>
            </w:r>
          </w:p>
        </w:tc>
      </w:tr>
      <w:tr>
        <w:trPr>
          <w:trHeight w:val="131"/>
        </w:trPr>
        <w:tc>
          <w:tcPr>
            <w:tcW w:w="7920" w:type="dxa"/>
            <w:vAlign w:val="bottom"/>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53"/>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Current liabilities</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53"/>
        </w:trPr>
        <w:tc>
          <w:tcPr>
            <w:tcW w:w="79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Accounts payable</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6,460</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2,312</w:t>
            </w:r>
          </w:p>
        </w:tc>
      </w:tr>
      <w:tr>
        <w:trPr>
          <w:trHeight w:val="153"/>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Accrued expenses</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4,325</w:t>
            </w:r>
          </w:p>
        </w:tc>
      </w:tr>
      <w:tr>
        <w:trPr>
          <w:trHeight w:val="153"/>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Operating lease obligations</w:t>
            </w: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363</w:t>
            </w:r>
          </w:p>
        </w:tc>
      </w:tr>
      <w:tr>
        <w:trPr>
          <w:trHeight w:val="142"/>
        </w:trPr>
        <w:tc>
          <w:tcPr>
            <w:tcW w:w="79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14,907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7,000</w:t>
            </w:r>
          </w:p>
        </w:tc>
      </w:tr>
      <w:tr>
        <w:trPr>
          <w:trHeight w:val="153"/>
        </w:trPr>
        <w:tc>
          <w:tcPr>
            <w:tcW w:w="79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Non-current liabilities</w:t>
            </w: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53"/>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Operating lease obligations, less current portion</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1,231</w:t>
            </w:r>
          </w:p>
        </w:tc>
      </w:tr>
      <w:tr>
        <w:trPr>
          <w:trHeight w:val="153"/>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Long term debt, net</w:t>
            </w: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1,712</w:t>
            </w:r>
          </w:p>
        </w:tc>
      </w:tr>
      <w:tr>
        <w:trPr>
          <w:trHeight w:val="142"/>
        </w:trPr>
        <w:tc>
          <w:tcPr>
            <w:tcW w:w="79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liabilities</w:t>
            </w:r>
          </w:p>
        </w:tc>
        <w:tc>
          <w:tcPr>
            <w:tcW w:w="24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20,936</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9,943</w:t>
            </w:r>
          </w:p>
        </w:tc>
      </w:tr>
      <w:tr>
        <w:trPr>
          <w:trHeight w:val="133"/>
        </w:trPr>
        <w:tc>
          <w:tcPr>
            <w:tcW w:w="79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Stockholders' equity</w:t>
            </w: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53"/>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Convertible preferred stock</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w:t>
            </w:r>
          </w:p>
        </w:tc>
      </w:tr>
      <w:tr>
        <w:trPr>
          <w:trHeight w:val="153"/>
        </w:trPr>
        <w:tc>
          <w:tcPr>
            <w:tcW w:w="79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1,995</w:t>
            </w:r>
          </w:p>
        </w:tc>
      </w:tr>
      <w:tr>
        <w:trPr>
          <w:trHeight w:val="153"/>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Treasury stock</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53"/>
        </w:trPr>
        <w:tc>
          <w:tcPr>
            <w:tcW w:w="79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284,231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225,537</w:t>
            </w:r>
          </w:p>
        </w:tc>
      </w:tr>
      <w:tr>
        <w:trPr>
          <w:trHeight w:val="153"/>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79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(191,079)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(131,667)</w:t>
            </w:r>
          </w:p>
        </w:tc>
      </w:tr>
      <w:tr>
        <w:trPr>
          <w:trHeight w:val="142"/>
        </w:trPr>
        <w:tc>
          <w:tcPr>
            <w:tcW w:w="79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stockholders' equity</w:t>
            </w:r>
          </w:p>
        </w:tc>
        <w:tc>
          <w:tcPr>
            <w:tcW w:w="24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95,303</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95,818</w:t>
            </w:r>
          </w:p>
        </w:tc>
      </w:tr>
      <w:tr>
        <w:trPr>
          <w:trHeight w:val="142"/>
        </w:trPr>
        <w:tc>
          <w:tcPr>
            <w:tcW w:w="7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116,239</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105,761</w:t>
            </w:r>
          </w:p>
        </w:tc>
      </w:tr>
      <w:tr>
        <w:trPr>
          <w:trHeight w:val="20"/>
        </w:trPr>
        <w:tc>
          <w:tcPr>
            <w:tcW w:w="7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674" w:right="2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OCUGEN, INC.</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48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Three months ended September 30,</w:t>
            </w: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960" w:type="dxa"/>
            <w:vAlign w:val="bottom"/>
            <w:tcBorders>
              <w:bottom w:val="single" w:sz="8" w:color="auto"/>
            </w:tcBorders>
          </w:tcPr>
          <w:p>
            <w:pPr>
              <w:spacing w:after="0"/>
              <w:rPr>
                <w:sz w:val="11"/>
                <w:szCs w:val="11"/>
                <w:color w:val="auto"/>
              </w:rPr>
            </w:pPr>
          </w:p>
        </w:tc>
      </w:tr>
      <w:tr>
        <w:trPr>
          <w:trHeight w:val="128"/>
        </w:trPr>
        <w:tc>
          <w:tcPr>
            <w:tcW w:w="44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0"/>
                <w:szCs w:val="10"/>
                <w:b w:val="1"/>
                <w:bCs w:val="1"/>
                <w:color w:val="auto"/>
                <w:w w:val="99"/>
              </w:rPr>
              <w:t>2021</w:t>
            </w:r>
          </w:p>
        </w:tc>
      </w:tr>
      <w:tr>
        <w:trPr>
          <w:trHeight w:val="138"/>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expenses</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3"/>
        </w:trPr>
        <w:tc>
          <w:tcPr>
            <w:tcW w:w="44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940" w:type="dxa"/>
            <w:vAlign w:val="bottom"/>
          </w:tcPr>
          <w:p>
            <w:pPr>
              <w:jc w:val="right"/>
              <w:ind w:right="803"/>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15,622</w:t>
            </w:r>
          </w:p>
        </w:tc>
        <w:tc>
          <w:tcPr>
            <w:tcW w:w="80" w:type="dxa"/>
            <w:vAlign w:val="bottom"/>
          </w:tcPr>
          <w:p>
            <w:pPr>
              <w:spacing w:after="0"/>
              <w:rPr>
                <w:sz w:val="13"/>
                <w:szCs w:val="13"/>
                <w:color w:val="auto"/>
              </w:rPr>
            </w:pPr>
          </w:p>
        </w:tc>
        <w:tc>
          <w:tcPr>
            <w:tcW w:w="7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6,281</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32,544</w:t>
            </w:r>
          </w:p>
        </w:tc>
        <w:tc>
          <w:tcPr>
            <w:tcW w:w="80" w:type="dxa"/>
            <w:vAlign w:val="bottom"/>
          </w:tcPr>
          <w:p>
            <w:pPr>
              <w:spacing w:after="0"/>
              <w:rPr>
                <w:sz w:val="13"/>
                <w:szCs w:val="13"/>
                <w:color w:val="auto"/>
              </w:rPr>
            </w:pPr>
          </w:p>
        </w:tc>
        <w:tc>
          <w:tcPr>
            <w:tcW w:w="70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28,006</w:t>
            </w:r>
          </w:p>
        </w:tc>
      </w:tr>
      <w:tr>
        <w:trPr>
          <w:trHeight w:val="15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9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7,497</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4,508</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28,174</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15,450</w:t>
            </w:r>
          </w:p>
        </w:tc>
      </w:tr>
      <w:tr>
        <w:trPr>
          <w:trHeight w:val="142"/>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9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23,119</w:t>
            </w: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10,789</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60,718</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43,456</w:t>
            </w:r>
          </w:p>
        </w:tc>
      </w:tr>
      <w:tr>
        <w:trPr>
          <w:trHeight w:val="14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(23,119)</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(10,789)</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(60,718)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(43,456)</w:t>
            </w:r>
          </w:p>
        </w:tc>
      </w:tr>
      <w:tr>
        <w:trPr>
          <w:trHeight w:val="15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Other income (expense), net</w:t>
            </w:r>
          </w:p>
        </w:tc>
        <w:tc>
          <w:tcPr>
            <w:tcW w:w="9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1,197</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1,306</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(380)</w:t>
            </w:r>
          </w:p>
        </w:tc>
      </w:tr>
      <w:tr>
        <w:trPr>
          <w:trHeight w:val="14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income taxes</w:t>
            </w: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(21,922)</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(10,807)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(59,412)</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(43,836)</w:t>
            </w:r>
          </w:p>
        </w:tc>
      </w:tr>
      <w:tr>
        <w:trPr>
          <w:trHeight w:val="153"/>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9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58"/>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940" w:type="dxa"/>
            <w:vAlign w:val="bottom"/>
            <w:tcBorders>
              <w:top w:val="single" w:sz="8" w:color="auto"/>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(21,922)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(10,755)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(59,412)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(43,784)</w:t>
            </w:r>
          </w:p>
        </w:tc>
      </w:tr>
      <w:tr>
        <w:trPr>
          <w:trHeight w:val="162"/>
        </w:trPr>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9"/>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used in calculating net loss per common share — basic and diluted</w:t>
            </w:r>
          </w:p>
        </w:tc>
        <w:tc>
          <w:tcPr>
            <w:tcW w:w="9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216,591,011</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198,790,980</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212,755,746</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193,599,525</w:t>
            </w:r>
          </w:p>
        </w:tc>
      </w:tr>
      <w:tr>
        <w:trPr>
          <w:trHeight w:val="153"/>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Net loss per share of common stock — basic and diluted</w:t>
            </w:r>
          </w:p>
        </w:tc>
        <w:tc>
          <w:tcPr>
            <w:tcW w:w="94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(0.28)</w:t>
            </w:r>
          </w:p>
        </w:tc>
        <w:tc>
          <w:tcPr>
            <w:tcW w:w="80" w:type="dxa"/>
            <w:vAlign w:val="bottom"/>
          </w:tcPr>
          <w:p>
            <w:pPr>
              <w:spacing w:after="0"/>
              <w:rPr>
                <w:sz w:val="13"/>
                <w:szCs w:val="13"/>
                <w:color w:val="auto"/>
              </w:rPr>
            </w:pPr>
          </w:p>
        </w:tc>
        <w:tc>
          <w:tcPr>
            <w:tcW w:w="7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(0.23)</w:t>
            </w: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674" w:right="29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2022-11-08T06:40:15Z</dcterms:created>
  <dcterms:modified xsi:type="dcterms:W3CDTF">2022-11-08T06:40:15Z</dcterms:modified>
</cp:coreProperties>
</file>