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808990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826135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20"/>
        <w:spacing w:after="0"/>
        <w:rPr>
          <w:sz w:val="20"/>
          <w:szCs w:val="20"/>
          <w:color w:val="auto"/>
        </w:rPr>
      </w:pPr>
      <w:r>
        <w:rPr>
          <w:rFonts w:ascii="Arial" w:cs="Arial" w:eastAsia="Arial" w:hAnsi="Arial"/>
          <w:sz w:val="12"/>
          <w:szCs w:val="12"/>
          <w:b w:val="1"/>
          <w:bCs w:val="1"/>
          <w:color w:val="auto"/>
        </w:rPr>
        <w:t>Washington, DC 20549</w:t>
      </w:r>
    </w:p>
    <w:p>
      <w:pPr>
        <w:spacing w:after="0" w:line="158" w:lineRule="exact"/>
        <w:rPr>
          <w:sz w:val="24"/>
          <w:szCs w:val="24"/>
          <w:color w:val="auto"/>
        </w:rPr>
      </w:pPr>
    </w:p>
    <w:p>
      <w:pPr>
        <w:ind w:left="3860"/>
        <w:spacing w:after="0"/>
        <w:rPr>
          <w:sz w:val="20"/>
          <w:szCs w:val="20"/>
          <w:color w:val="auto"/>
        </w:rPr>
      </w:pPr>
      <w:r>
        <w:rPr>
          <w:rFonts w:ascii="Arial" w:cs="Arial" w:eastAsia="Arial" w:hAnsi="Arial"/>
          <w:sz w:val="12"/>
          <w:szCs w:val="12"/>
          <w:color w:val="auto"/>
        </w:rPr>
        <w:t>___________________________________________________________</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FORM 8–K</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2"/>
          <w:szCs w:val="12"/>
          <w:color w:val="auto"/>
        </w:rPr>
        <w:t>___________________________________________________________</w:t>
      </w:r>
    </w:p>
    <w:p>
      <w:pPr>
        <w:spacing w:after="0" w:line="150"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Pursuant to Section 13 OR 15 (d)</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5"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March 1, 2021</w:t>
      </w:r>
    </w:p>
    <w:p>
      <w:pPr>
        <w:spacing w:after="0" w:line="154" w:lineRule="exact"/>
        <w:rPr>
          <w:sz w:val="24"/>
          <w:szCs w:val="24"/>
          <w:color w:val="auto"/>
        </w:rPr>
      </w:pPr>
    </w:p>
    <w:p>
      <w:pPr>
        <w:ind w:left="3880"/>
        <w:spacing w:after="0"/>
        <w:rPr>
          <w:sz w:val="20"/>
          <w:szCs w:val="20"/>
          <w:color w:val="auto"/>
        </w:rPr>
      </w:pPr>
      <w:r>
        <w:rPr>
          <w:rFonts w:ascii="Arial" w:cs="Arial" w:eastAsia="Arial" w:hAnsi="Arial"/>
          <w:sz w:val="12"/>
          <w:szCs w:val="12"/>
          <w:color w:val="auto"/>
        </w:rPr>
        <w:t>___________________________________________________________</w:t>
      </w:r>
    </w:p>
    <w:p>
      <w:pPr>
        <w:spacing w:after="0" w:line="140"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OCUGEN, INC.</w:t>
      </w:r>
    </w:p>
    <w:p>
      <w:pPr>
        <w:spacing w:after="0" w:line="19" w:lineRule="exact"/>
        <w:rPr>
          <w:sz w:val="24"/>
          <w:szCs w:val="24"/>
          <w:color w:val="auto"/>
        </w:rPr>
      </w:pPr>
    </w:p>
    <w:p>
      <w:pPr>
        <w:ind w:left="4340"/>
        <w:spacing w:after="0"/>
        <w:rPr>
          <w:sz w:val="20"/>
          <w:szCs w:val="20"/>
          <w:color w:val="auto"/>
        </w:rPr>
      </w:pPr>
      <w:r>
        <w:rPr>
          <w:rFonts w:ascii="Arial" w:cs="Arial" w:eastAsia="Arial" w:hAnsi="Arial"/>
          <w:sz w:val="12"/>
          <w:szCs w:val="12"/>
          <w:color w:val="auto"/>
        </w:rPr>
        <w:t>(Exact Name of Registrant as Specified in its Charter)</w:t>
      </w:r>
    </w:p>
    <w:p>
      <w:pPr>
        <w:spacing w:after="0" w:line="140" w:lineRule="exact"/>
        <w:rPr>
          <w:sz w:val="24"/>
          <w:szCs w:val="24"/>
          <w:color w:val="auto"/>
        </w:rPr>
      </w:pPr>
    </w:p>
    <w:tbl>
      <w:tblPr>
        <w:tblLayout w:type="fixed"/>
        <w:tblInd w:w="106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5800" w:type="dxa"/>
            <w:vAlign w:val="bottom"/>
          </w:tcPr>
          <w:p>
            <w:pPr>
              <w:jc w:val="right"/>
              <w:ind w:right="1100"/>
              <w:spacing w:after="0"/>
              <w:rPr>
                <w:sz w:val="20"/>
                <w:szCs w:val="20"/>
                <w:color w:val="auto"/>
              </w:rPr>
            </w:pPr>
            <w:r>
              <w:rPr>
                <w:rFonts w:ascii="Arial" w:cs="Arial" w:eastAsia="Arial" w:hAnsi="Arial"/>
                <w:sz w:val="12"/>
                <w:szCs w:val="12"/>
                <w:color w:val="auto"/>
              </w:rPr>
              <w:t>___________________________________________________________</w:t>
            </w:r>
          </w:p>
        </w:tc>
        <w:tc>
          <w:tcPr>
            <w:tcW w:w="1460" w:type="dxa"/>
            <w:vAlign w:val="bottom"/>
          </w:tcPr>
          <w:p>
            <w:pPr>
              <w:spacing w:after="0"/>
              <w:rPr>
                <w:sz w:val="13"/>
                <w:szCs w:val="13"/>
                <w:color w:val="auto"/>
              </w:rPr>
            </w:pPr>
          </w:p>
        </w:tc>
      </w:tr>
      <w:tr>
        <w:trPr>
          <w:trHeight w:val="315"/>
        </w:trPr>
        <w:tc>
          <w:tcPr>
            <w:tcW w:w="1720" w:type="dxa"/>
            <w:vAlign w:val="bottom"/>
          </w:tcPr>
          <w:p>
            <w:pPr>
              <w:jc w:val="center"/>
              <w:ind w:right="180"/>
              <w:spacing w:after="0"/>
              <w:rPr>
                <w:sz w:val="20"/>
                <w:szCs w:val="20"/>
                <w:color w:val="auto"/>
              </w:rPr>
            </w:pPr>
            <w:r>
              <w:rPr>
                <w:rFonts w:ascii="Arial" w:cs="Arial" w:eastAsia="Arial" w:hAnsi="Arial"/>
                <w:sz w:val="12"/>
                <w:szCs w:val="12"/>
                <w:b w:val="1"/>
                <w:bCs w:val="1"/>
                <w:color w:val="auto"/>
                <w:w w:val="91"/>
              </w:rPr>
              <w:t>Delaware</w:t>
            </w:r>
          </w:p>
        </w:tc>
        <w:tc>
          <w:tcPr>
            <w:tcW w:w="5800" w:type="dxa"/>
            <w:vAlign w:val="bottom"/>
          </w:tcPr>
          <w:p>
            <w:pPr>
              <w:jc w:val="right"/>
              <w:ind w:right="2620"/>
              <w:spacing w:after="0"/>
              <w:rPr>
                <w:sz w:val="20"/>
                <w:szCs w:val="20"/>
                <w:color w:val="auto"/>
              </w:rPr>
            </w:pPr>
            <w:r>
              <w:rPr>
                <w:rFonts w:ascii="Arial" w:cs="Arial" w:eastAsia="Arial" w:hAnsi="Arial"/>
                <w:sz w:val="12"/>
                <w:szCs w:val="12"/>
                <w:b w:val="1"/>
                <w:bCs w:val="1"/>
                <w:color w:val="auto"/>
              </w:rPr>
              <w:t>001-36751</w:t>
            </w:r>
          </w:p>
        </w:tc>
        <w:tc>
          <w:tcPr>
            <w:tcW w:w="1460" w:type="dxa"/>
            <w:vAlign w:val="bottom"/>
          </w:tcPr>
          <w:p>
            <w:pPr>
              <w:jc w:val="right"/>
              <w:ind w:right="200"/>
              <w:spacing w:after="0"/>
              <w:rPr>
                <w:sz w:val="20"/>
                <w:szCs w:val="20"/>
                <w:color w:val="auto"/>
              </w:rPr>
            </w:pPr>
            <w:r>
              <w:rPr>
                <w:rFonts w:ascii="Arial" w:cs="Arial" w:eastAsia="Arial" w:hAnsi="Arial"/>
                <w:sz w:val="12"/>
                <w:szCs w:val="12"/>
                <w:b w:val="1"/>
                <w:bCs w:val="1"/>
                <w:color w:val="auto"/>
              </w:rPr>
              <w:t>04-3522315</w:t>
            </w:r>
          </w:p>
        </w:tc>
      </w:tr>
      <w:tr>
        <w:trPr>
          <w:trHeight w:val="117"/>
        </w:trPr>
        <w:tc>
          <w:tcPr>
            <w:tcW w:w="1720" w:type="dxa"/>
            <w:vAlign w:val="bottom"/>
          </w:tcPr>
          <w:p>
            <w:pPr>
              <w:spacing w:after="0" w:line="117" w:lineRule="exact"/>
              <w:rPr>
                <w:sz w:val="20"/>
                <w:szCs w:val="20"/>
                <w:color w:val="auto"/>
              </w:rPr>
            </w:pPr>
            <w:r>
              <w:rPr>
                <w:rFonts w:ascii="Arial" w:cs="Arial" w:eastAsia="Arial" w:hAnsi="Arial"/>
                <w:sz w:val="12"/>
                <w:szCs w:val="12"/>
                <w:color w:val="auto"/>
              </w:rPr>
              <w:t>(State or Other Jurisdiction of</w:t>
            </w:r>
          </w:p>
        </w:tc>
        <w:tc>
          <w:tcPr>
            <w:tcW w:w="5800" w:type="dxa"/>
            <w:vAlign w:val="bottom"/>
          </w:tcPr>
          <w:p>
            <w:pPr>
              <w:ind w:left="2520"/>
              <w:spacing w:after="0" w:line="117" w:lineRule="exact"/>
              <w:rPr>
                <w:sz w:val="20"/>
                <w:szCs w:val="20"/>
                <w:color w:val="auto"/>
              </w:rPr>
            </w:pPr>
            <w:r>
              <w:rPr>
                <w:rFonts w:ascii="Arial" w:cs="Arial" w:eastAsia="Arial" w:hAnsi="Arial"/>
                <w:sz w:val="12"/>
                <w:szCs w:val="12"/>
                <w:color w:val="auto"/>
              </w:rPr>
              <w:t>(Commission</w:t>
            </w:r>
          </w:p>
        </w:tc>
        <w:tc>
          <w:tcPr>
            <w:tcW w:w="1460" w:type="dxa"/>
            <w:vAlign w:val="bottom"/>
          </w:tcPr>
          <w:p>
            <w:pPr>
              <w:ind w:left="480"/>
              <w:spacing w:after="0" w:line="117" w:lineRule="exact"/>
              <w:rPr>
                <w:sz w:val="20"/>
                <w:szCs w:val="20"/>
                <w:color w:val="auto"/>
              </w:rPr>
            </w:pPr>
            <w:r>
              <w:rPr>
                <w:rFonts w:ascii="Arial" w:cs="Arial" w:eastAsia="Arial" w:hAnsi="Arial"/>
                <w:sz w:val="12"/>
                <w:szCs w:val="12"/>
                <w:color w:val="auto"/>
              </w:rPr>
              <w:t>(I.R.S. Employer</w:t>
            </w:r>
          </w:p>
        </w:tc>
      </w:tr>
      <w:tr>
        <w:trPr>
          <w:trHeight w:val="153"/>
        </w:trPr>
        <w:tc>
          <w:tcPr>
            <w:tcW w:w="1720" w:type="dxa"/>
            <w:vAlign w:val="bottom"/>
          </w:tcPr>
          <w:p>
            <w:pPr>
              <w:jc w:val="center"/>
              <w:ind w:right="180"/>
              <w:spacing w:after="0"/>
              <w:rPr>
                <w:sz w:val="20"/>
                <w:szCs w:val="20"/>
                <w:color w:val="auto"/>
              </w:rPr>
            </w:pPr>
            <w:r>
              <w:rPr>
                <w:rFonts w:ascii="Arial" w:cs="Arial" w:eastAsia="Arial" w:hAnsi="Arial"/>
                <w:sz w:val="12"/>
                <w:szCs w:val="12"/>
                <w:color w:val="auto"/>
                <w:w w:val="91"/>
              </w:rPr>
              <w:t>Incorporation)</w:t>
            </w:r>
          </w:p>
        </w:tc>
        <w:tc>
          <w:tcPr>
            <w:tcW w:w="5800" w:type="dxa"/>
            <w:vAlign w:val="bottom"/>
          </w:tcPr>
          <w:p>
            <w:pPr>
              <w:jc w:val="center"/>
              <w:ind w:right="20"/>
              <w:spacing w:after="0"/>
              <w:rPr>
                <w:sz w:val="20"/>
                <w:szCs w:val="20"/>
                <w:color w:val="auto"/>
              </w:rPr>
            </w:pPr>
            <w:r>
              <w:rPr>
                <w:rFonts w:ascii="Arial" w:cs="Arial" w:eastAsia="Arial" w:hAnsi="Arial"/>
                <w:sz w:val="12"/>
                <w:szCs w:val="12"/>
                <w:color w:val="auto"/>
                <w:w w:val="92"/>
              </w:rPr>
              <w:t>File Number)</w:t>
            </w:r>
          </w:p>
        </w:tc>
        <w:tc>
          <w:tcPr>
            <w:tcW w:w="1460" w:type="dxa"/>
            <w:vAlign w:val="bottom"/>
          </w:tcPr>
          <w:p>
            <w:pPr>
              <w:jc w:val="center"/>
              <w:ind w:left="280"/>
              <w:spacing w:after="0"/>
              <w:rPr>
                <w:sz w:val="20"/>
                <w:szCs w:val="20"/>
                <w:color w:val="auto"/>
              </w:rPr>
            </w:pPr>
            <w:r>
              <w:rPr>
                <w:rFonts w:ascii="Arial" w:cs="Arial" w:eastAsia="Arial" w:hAnsi="Arial"/>
                <w:sz w:val="12"/>
                <w:szCs w:val="12"/>
                <w:color w:val="auto"/>
                <w:w w:val="95"/>
              </w:rPr>
              <w:t>Identification Number)</w:t>
            </w:r>
          </w:p>
        </w:tc>
      </w:tr>
      <w:tr>
        <w:trPr>
          <w:trHeight w:val="347"/>
        </w:trPr>
        <w:tc>
          <w:tcPr>
            <w:tcW w:w="172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Arial" w:cs="Arial" w:eastAsia="Arial" w:hAnsi="Arial"/>
                <w:sz w:val="12"/>
                <w:szCs w:val="12"/>
                <w:b w:val="1"/>
                <w:bCs w:val="1"/>
                <w:color w:val="auto"/>
                <w:w w:val="92"/>
              </w:rPr>
              <w:t>263 Great Valley Parkway</w:t>
            </w:r>
          </w:p>
        </w:tc>
        <w:tc>
          <w:tcPr>
            <w:tcW w:w="1460" w:type="dxa"/>
            <w:vAlign w:val="bottom"/>
          </w:tcPr>
          <w:p>
            <w:pPr>
              <w:spacing w:after="0"/>
              <w:rPr>
                <w:sz w:val="24"/>
                <w:szCs w:val="24"/>
                <w:color w:val="auto"/>
              </w:rPr>
            </w:pPr>
          </w:p>
        </w:tc>
      </w:tr>
      <w:tr>
        <w:trPr>
          <w:trHeight w:val="144"/>
        </w:trPr>
        <w:tc>
          <w:tcPr>
            <w:tcW w:w="1720" w:type="dxa"/>
            <w:vAlign w:val="bottom"/>
          </w:tcPr>
          <w:p>
            <w:pPr>
              <w:spacing w:after="0"/>
              <w:rPr>
                <w:sz w:val="12"/>
                <w:szCs w:val="12"/>
                <w:color w:val="auto"/>
              </w:rPr>
            </w:pPr>
          </w:p>
        </w:tc>
        <w:tc>
          <w:tcPr>
            <w:tcW w:w="5800" w:type="dxa"/>
            <w:vAlign w:val="bottom"/>
          </w:tcPr>
          <w:p>
            <w:pPr>
              <w:jc w:val="center"/>
              <w:ind w:right="20"/>
              <w:spacing w:after="0"/>
              <w:rPr>
                <w:sz w:val="20"/>
                <w:szCs w:val="20"/>
                <w:color w:val="auto"/>
              </w:rPr>
            </w:pPr>
            <w:r>
              <w:rPr>
                <w:rFonts w:ascii="Arial" w:cs="Arial" w:eastAsia="Arial" w:hAnsi="Arial"/>
                <w:sz w:val="12"/>
                <w:szCs w:val="12"/>
                <w:b w:val="1"/>
                <w:bCs w:val="1"/>
                <w:color w:val="auto"/>
                <w:w w:val="91"/>
              </w:rPr>
              <w:t>Malvern, Pennsylvania 19355</w:t>
            </w:r>
          </w:p>
        </w:tc>
        <w:tc>
          <w:tcPr>
            <w:tcW w:w="1460" w:type="dxa"/>
            <w:vAlign w:val="bottom"/>
          </w:tcPr>
          <w:p>
            <w:pPr>
              <w:spacing w:after="0"/>
              <w:rPr>
                <w:sz w:val="12"/>
                <w:szCs w:val="12"/>
                <w:color w:val="auto"/>
              </w:rPr>
            </w:pPr>
          </w:p>
        </w:tc>
      </w:tr>
      <w:tr>
        <w:trPr>
          <w:trHeight w:val="148"/>
        </w:trPr>
        <w:tc>
          <w:tcPr>
            <w:tcW w:w="1720" w:type="dxa"/>
            <w:vAlign w:val="bottom"/>
          </w:tcPr>
          <w:p>
            <w:pPr>
              <w:spacing w:after="0"/>
              <w:rPr>
                <w:sz w:val="12"/>
                <w:szCs w:val="12"/>
                <w:color w:val="auto"/>
              </w:rPr>
            </w:pPr>
          </w:p>
        </w:tc>
        <w:tc>
          <w:tcPr>
            <w:tcW w:w="5800" w:type="dxa"/>
            <w:vAlign w:val="bottom"/>
          </w:tcPr>
          <w:p>
            <w:pPr>
              <w:jc w:val="right"/>
              <w:ind w:right="2500"/>
              <w:spacing w:after="0"/>
              <w:rPr>
                <w:sz w:val="20"/>
                <w:szCs w:val="20"/>
                <w:color w:val="auto"/>
              </w:rPr>
            </w:pPr>
            <w:r>
              <w:rPr>
                <w:rFonts w:ascii="Arial" w:cs="Arial" w:eastAsia="Arial" w:hAnsi="Arial"/>
                <w:sz w:val="12"/>
                <w:szCs w:val="12"/>
                <w:b w:val="1"/>
                <w:bCs w:val="1"/>
                <w:color w:val="auto"/>
              </w:rPr>
              <w:t>(484) 328-4701</w:t>
            </w:r>
          </w:p>
        </w:tc>
        <w:tc>
          <w:tcPr>
            <w:tcW w:w="1460" w:type="dxa"/>
            <w:vAlign w:val="bottom"/>
          </w:tcPr>
          <w:p>
            <w:pPr>
              <w:spacing w:after="0"/>
              <w:rPr>
                <w:sz w:val="12"/>
                <w:szCs w:val="12"/>
                <w:color w:val="auto"/>
              </w:rPr>
            </w:pPr>
          </w:p>
        </w:tc>
      </w:tr>
      <w:tr>
        <w:trPr>
          <w:trHeight w:val="153"/>
        </w:trPr>
        <w:tc>
          <w:tcPr>
            <w:tcW w:w="1720" w:type="dxa"/>
            <w:vAlign w:val="bottom"/>
          </w:tcPr>
          <w:p>
            <w:pPr>
              <w:spacing w:after="0"/>
              <w:rPr>
                <w:sz w:val="13"/>
                <w:szCs w:val="13"/>
                <w:color w:val="auto"/>
              </w:rPr>
            </w:pPr>
          </w:p>
        </w:tc>
        <w:tc>
          <w:tcPr>
            <w:tcW w:w="5800" w:type="dxa"/>
            <w:vAlign w:val="bottom"/>
          </w:tcPr>
          <w:p>
            <w:pPr>
              <w:jc w:val="center"/>
              <w:ind w:right="20"/>
              <w:spacing w:after="0"/>
              <w:rPr>
                <w:sz w:val="20"/>
                <w:szCs w:val="20"/>
                <w:color w:val="auto"/>
              </w:rPr>
            </w:pPr>
            <w:r>
              <w:rPr>
                <w:rFonts w:ascii="Arial" w:cs="Arial" w:eastAsia="Arial" w:hAnsi="Arial"/>
                <w:sz w:val="12"/>
                <w:szCs w:val="12"/>
                <w:color w:val="auto"/>
                <w:w w:val="91"/>
              </w:rPr>
              <w:t>(Addresses, including zip code, and telephone numbers, including area code, of principal executive offices)</w:t>
            </w:r>
          </w:p>
        </w:tc>
        <w:tc>
          <w:tcPr>
            <w:tcW w:w="1460" w:type="dxa"/>
            <w:vAlign w:val="bottom"/>
          </w:tcPr>
          <w:p>
            <w:pPr>
              <w:spacing w:after="0"/>
              <w:rPr>
                <w:sz w:val="13"/>
                <w:szCs w:val="13"/>
                <w:color w:val="auto"/>
              </w:rPr>
            </w:pPr>
          </w:p>
        </w:tc>
      </w:tr>
    </w:tbl>
    <w:p>
      <w:pPr>
        <w:spacing w:after="0" w:line="293" w:lineRule="exact"/>
        <w:rPr>
          <w:sz w:val="24"/>
          <w:szCs w:val="24"/>
          <w:color w:val="auto"/>
        </w:rPr>
      </w:pPr>
    </w:p>
    <w:p>
      <w:pPr>
        <w:jc w:val="center"/>
        <w:ind w:right="-1120"/>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9"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 s</w:t>
      </w:r>
    </w:p>
    <w:p>
      <w:pPr>
        <w:spacing w:after="0" w:line="162" w:lineRule="exact"/>
        <w:rPr>
          <w:sz w:val="24"/>
          <w:szCs w:val="24"/>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Arial" w:cs="Arial" w:eastAsia="Arial" w:hAnsi="Arial"/>
          <w:sz w:val="12"/>
          <w:szCs w:val="12"/>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Arial" w:cs="Arial" w:eastAsia="Arial" w:hAnsi="Arial"/>
          <w:sz w:val="12"/>
          <w:szCs w:val="12"/>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Arial" w:cs="Arial" w:eastAsia="Arial" w:hAnsi="Arial"/>
          <w:sz w:val="12"/>
          <w:szCs w:val="12"/>
          <w:color w:val="auto"/>
        </w:rPr>
      </w:pPr>
    </w:p>
    <w:p>
      <w:pPr>
        <w:ind w:left="220" w:hanging="174"/>
        <w:spacing w:after="0"/>
        <w:tabs>
          <w:tab w:leader="none" w:pos="2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159"/>
          </w:cols>
          <w:pgMar w:left="30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3700" w:type="dxa"/>
            <w:vAlign w:val="bottom"/>
          </w:tcPr>
          <w:p>
            <w:pPr>
              <w:spacing w:after="0"/>
              <w:rPr>
                <w:sz w:val="13"/>
                <w:szCs w:val="13"/>
                <w:color w:val="auto"/>
              </w:rPr>
            </w:pPr>
          </w:p>
        </w:tc>
        <w:tc>
          <w:tcPr>
            <w:tcW w:w="3800" w:type="dxa"/>
            <w:vAlign w:val="bottom"/>
            <w:gridSpan w:val="5"/>
          </w:tcPr>
          <w:p>
            <w:pPr>
              <w:ind w:left="480"/>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800" w:type="dxa"/>
            <w:vAlign w:val="bottom"/>
          </w:tcPr>
          <w:p>
            <w:pPr>
              <w:spacing w:after="0"/>
              <w:rPr>
                <w:sz w:val="13"/>
                <w:szCs w:val="13"/>
                <w:color w:val="auto"/>
              </w:rPr>
            </w:pPr>
          </w:p>
        </w:tc>
      </w:tr>
      <w:tr>
        <w:trPr>
          <w:trHeight w:val="297"/>
        </w:trPr>
        <w:tc>
          <w:tcPr>
            <w:tcW w:w="3700" w:type="dxa"/>
            <w:vAlign w:val="bottom"/>
            <w:tcBorders>
              <w:bottom w:val="single" w:sz="8" w:color="auto"/>
            </w:tcBorders>
          </w:tcPr>
          <w:p>
            <w:pPr>
              <w:jc w:val="center"/>
              <w:ind w:left="620"/>
              <w:spacing w:after="0"/>
              <w:rPr>
                <w:sz w:val="20"/>
                <w:szCs w:val="20"/>
                <w:color w:val="auto"/>
              </w:rPr>
            </w:pPr>
            <w:r>
              <w:rPr>
                <w:rFonts w:ascii="Arial" w:cs="Arial" w:eastAsia="Arial" w:hAnsi="Arial"/>
                <w:sz w:val="12"/>
                <w:szCs w:val="12"/>
                <w:b w:val="1"/>
                <w:bCs w:val="1"/>
                <w:color w:val="auto"/>
                <w:w w:val="87"/>
              </w:rPr>
              <w:t>Title of each class</w:t>
            </w: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ind w:right="76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700" w:type="dxa"/>
            <w:vAlign w:val="bottom"/>
          </w:tcPr>
          <w:p>
            <w:pPr>
              <w:jc w:val="center"/>
              <w:ind w:left="620"/>
              <w:spacing w:after="0"/>
              <w:rPr>
                <w:sz w:val="20"/>
                <w:szCs w:val="20"/>
                <w:color w:val="auto"/>
              </w:rPr>
            </w:pPr>
            <w:r>
              <w:rPr>
                <w:rFonts w:ascii="Arial" w:cs="Arial" w:eastAsia="Arial" w:hAnsi="Arial"/>
                <w:sz w:val="12"/>
                <w:szCs w:val="12"/>
                <w:color w:val="auto"/>
                <w:w w:val="89"/>
              </w:rPr>
              <w:t>Common Stock, $0.01 par value per share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3"/>
          </w:tcPr>
          <w:p>
            <w:pPr>
              <w:jc w:val="center"/>
              <w:ind w:right="920"/>
              <w:spacing w:after="0"/>
              <w:rPr>
                <w:sz w:val="20"/>
                <w:szCs w:val="20"/>
                <w:color w:val="auto"/>
              </w:rPr>
            </w:pPr>
            <w:r>
              <w:rPr>
                <w:rFonts w:ascii="Arial" w:cs="Arial" w:eastAsia="Arial" w:hAnsi="Arial"/>
                <w:sz w:val="12"/>
                <w:szCs w:val="12"/>
                <w:color w:val="auto"/>
                <w:w w:val="94"/>
              </w:rPr>
              <w:t>OCGN</w:t>
            </w:r>
          </w:p>
        </w:tc>
        <w:tc>
          <w:tcPr>
            <w:tcW w:w="3800" w:type="dxa"/>
            <w:vAlign w:val="bottom"/>
          </w:tcPr>
          <w:p>
            <w:pPr>
              <w:jc w:val="center"/>
              <w:ind w:right="760"/>
              <w:spacing w:after="0"/>
              <w:rPr>
                <w:sz w:val="20"/>
                <w:szCs w:val="20"/>
                <w:color w:val="auto"/>
              </w:rPr>
            </w:pPr>
            <w:r>
              <w:rPr>
                <w:rFonts w:ascii="Arial" w:cs="Arial" w:eastAsia="Arial" w:hAnsi="Arial"/>
                <w:sz w:val="12"/>
                <w:szCs w:val="12"/>
                <w:color w:val="auto"/>
                <w:w w:val="91"/>
              </w:rPr>
              <w:t>The Nasdaq Stock Market LLC</w:t>
            </w:r>
          </w:p>
        </w:tc>
      </w:tr>
      <w:tr>
        <w:trPr>
          <w:trHeight w:val="153"/>
        </w:trPr>
        <w:tc>
          <w:tcPr>
            <w:tcW w:w="3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0" w:type="dxa"/>
            <w:vAlign w:val="bottom"/>
          </w:tcPr>
          <w:p>
            <w:pPr>
              <w:jc w:val="center"/>
              <w:ind w:right="760"/>
              <w:spacing w:after="0"/>
              <w:rPr>
                <w:sz w:val="20"/>
                <w:szCs w:val="20"/>
                <w:color w:val="auto"/>
              </w:rPr>
            </w:pPr>
            <w:r>
              <w:rPr>
                <w:rFonts w:ascii="Arial" w:cs="Arial" w:eastAsia="Arial" w:hAnsi="Arial"/>
                <w:sz w:val="12"/>
                <w:szCs w:val="12"/>
                <w:color w:val="auto"/>
                <w:w w:val="92"/>
              </w:rPr>
              <w:t>(The Nasdaq Capital Market)</w:t>
            </w:r>
          </w:p>
        </w:tc>
      </w:tr>
    </w:tbl>
    <w:p>
      <w:pPr>
        <w:spacing w:after="0" w:line="243"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1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118745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63" w:right="299" w:bottom="1440" w:gutter="0" w:footer="0" w:header="0"/>
        </w:sectPr>
      </w:pPr>
    </w:p>
    <w:bookmarkStart w:id="2" w:name="page3"/>
    <w:bookmarkEnd w:id="2"/>
    <w:p>
      <w:pPr>
        <w:spacing w:after="0"/>
        <w:tabs>
          <w:tab w:leader="none" w:pos="640" w:val="left"/>
        </w:tabs>
        <w:rPr>
          <w:sz w:val="20"/>
          <w:szCs w:val="20"/>
          <w:color w:val="auto"/>
        </w:rPr>
      </w:pPr>
      <w:r>
        <w:rPr>
          <w:rFonts w:ascii="Arial" w:cs="Arial" w:eastAsia="Arial" w:hAnsi="Arial"/>
          <w:sz w:val="12"/>
          <w:szCs w:val="12"/>
          <w:b w:val="1"/>
          <w:bCs w:val="1"/>
          <w:color w:val="auto"/>
        </w:rPr>
        <w:t>Item 3.02</w:t>
      </w:r>
      <w:r>
        <w:rPr>
          <w:sz w:val="20"/>
          <w:szCs w:val="20"/>
          <w:color w:val="auto"/>
        </w:rPr>
        <w:tab/>
      </w:r>
      <w:r>
        <w:rPr>
          <w:rFonts w:ascii="Arial" w:cs="Arial" w:eastAsia="Arial" w:hAnsi="Arial"/>
          <w:sz w:val="10"/>
          <w:szCs w:val="10"/>
          <w:b w:val="1"/>
          <w:bCs w:val="1"/>
          <w:color w:val="auto"/>
        </w:rPr>
        <w:t>Unregistered Sales of Equity Securities</w:t>
      </w:r>
    </w:p>
    <w:p>
      <w:pPr>
        <w:spacing w:after="0" w:line="154" w:lineRule="exact"/>
        <w:rPr>
          <w:sz w:val="20"/>
          <w:szCs w:val="20"/>
          <w:color w:val="auto"/>
        </w:rPr>
      </w:pPr>
    </w:p>
    <w:p>
      <w:pPr>
        <w:jc w:val="both"/>
        <w:ind w:right="80"/>
        <w:spacing w:after="0" w:line="285" w:lineRule="auto"/>
        <w:rPr>
          <w:sz w:val="20"/>
          <w:szCs w:val="20"/>
          <w:color w:val="auto"/>
        </w:rPr>
      </w:pPr>
      <w:r>
        <w:rPr>
          <w:rFonts w:ascii="Arial" w:cs="Arial" w:eastAsia="Arial" w:hAnsi="Arial"/>
          <w:sz w:val="11"/>
          <w:szCs w:val="11"/>
          <w:color w:val="auto"/>
        </w:rPr>
        <w:t>On March 1, 2021, Ocugen, Inc. (the “Company”) entered into a Preferred Stock Purchase Agreement (the “Purchase Agreement”), pursuant to which it agreed to issue and sell 54,745 shares of the Company’s newly designated Series B Convertible Preferred Stock, par value $0.01 per share (the “Series B Preferred Stock”), at a price per share equal to $109.60, to its co-development partner, Bharat Biotech International Limited (“Bharat Biotech”). The Company is issuing the shares of Series B Preferred Stock as an advance payment for the supply of COVAXIN to be provided by Bharat Biotech pursuant to a supply agreement (the “Supply Agreement”) expected to be entered into with respect to the parties’ Co-Development, Supply and Commercialization Agreement dated as of January 31, 2021 (the “Co-Development Agreement”), which was previously disclosed in the Company’s Current Report on Form 8-K filed with the Securities and Exchange Commission on February 4, 2021. The closing of the issuance of the Series B Preferred Stock will take place on a date to be agreed upon by the parties.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Each share of Series B Preferred Stock is convertible, at the option of the holder, into 10 shares of the Company’s common stock only after (i) the Company’s receipt of stockholder approval to increase the number of authorized shares of common stock under its Sixth Amended and Restated Certificate of Incorporation and (ii) the Company’s receipt of shipments by Bharat Biotech of the first 10 million doses of COVAXIN manufactured by Bharat Biotech pursuant to the Supply Agreement, and further on the terms and subject to the conditions to be set forth in the Certificate of Designation of Preferences, Rights and Limitations of Series B Convertible Preferred Stock (the “Certificate of Designation”). The conversion rate of the Series B Preferred Stock is subject to adjustment in the event of a stock dividend, stock split, reclassification or similar event with respect to the Company’s common stock.</w:t>
      </w:r>
    </w:p>
    <w:p>
      <w:pPr>
        <w:spacing w:after="0" w:line="111"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Holders of Series B Preferred Stock are entitled to receive dividends on Series B Preferred Stock equal (on an as-converted to common stock basis) to and in the same form as dividends actually paid on shares of common stock, when and if such dividends are paid. Except as provided by law and certain protective provisions to be set forth in the Certificate of Designation, the Series B Preferred Stock has no voting rights. Upon the Company’s liquidation or dissolution, holders of Series B Preferred Stock will be entitled to receive the same amount that a holder of common stock would receive if the preferred stock were fully converted to common stock.</w:t>
      </w:r>
    </w:p>
    <w:p>
      <w:pPr>
        <w:spacing w:after="0" w:line="10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The Series B Preferred Stock is being issued in a private placement exempt from registration under the Securities Act of 1933, as amended (the “Securities Act”), pursuant to Section 4(a)(2) thereof and/or Rule 506 of Regulation D promulgated thereunder. The transaction does not involve a public offering and Bharat Biotech is an accredited investor as defined under Regulation D.</w:t>
      </w:r>
    </w:p>
    <w:p>
      <w:pPr>
        <w:spacing w:after="0" w:line="115"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information set forth above is qualified in its entirety by reference to the actual terms of the Certificate of Designation, the form of which has been filed as Exhibit 3.1 to this Current Report on Form 8-K, and which is incorporated herein by reference.</w:t>
      </w:r>
    </w:p>
    <w:p>
      <w:pPr>
        <w:spacing w:after="0" w:line="111"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Attached as Exhibit 99.1 and furnished for purposes of Regulation FD is a presentation that the Company will post on its website on March 5, 2021 and may use from time to time in presentations or discussions with investors, analysts, and other parties.</w:t>
      </w:r>
    </w:p>
    <w:p>
      <w:pPr>
        <w:spacing w:after="0" w:line="115"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The information in this Item 7.01 (including Exhibit 99.1) is being furnished solely to satisfy the requirements of Regulation FD and shall not be deemed to be “filed” for the purposes of Section 18 of the Securities Exchange Act of 1934 (the “Exchange Act”) or otherwise subject to the liabilities of that Section, nor shall it be deemed to be incorporated by reference in any filing under the Securities Act or the Exchange Act.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exhibits are being furnished or 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135"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27"/>
        </w:trPr>
        <w:tc>
          <w:tcPr>
            <w:tcW w:w="1780" w:type="dxa"/>
            <w:vAlign w:val="bottom"/>
            <w:gridSpan w:val="2"/>
          </w:tcPr>
          <w:p>
            <w:pPr>
              <w:spacing w:after="0"/>
              <w:rPr>
                <w:sz w:val="20"/>
                <w:szCs w:val="20"/>
                <w:color w:val="auto"/>
              </w:rPr>
            </w:pPr>
            <w:r>
              <w:rPr>
                <w:rFonts w:ascii="Arial" w:cs="Arial" w:eastAsia="Arial" w:hAnsi="Arial"/>
                <w:sz w:val="10"/>
                <w:szCs w:val="10"/>
                <w:b w:val="1"/>
                <w:bCs w:val="1"/>
                <w:color w:val="auto"/>
              </w:rPr>
              <w:t>Exhibit No.</w:t>
            </w:r>
          </w:p>
        </w:tc>
        <w:tc>
          <w:tcPr>
            <w:tcW w:w="9520" w:type="dxa"/>
            <w:vAlign w:val="bottom"/>
          </w:tcPr>
          <w:p>
            <w:pPr>
              <w:spacing w:after="0"/>
              <w:rPr>
                <w:sz w:val="20"/>
                <w:szCs w:val="20"/>
                <w:color w:val="auto"/>
              </w:rPr>
            </w:pPr>
            <w:r>
              <w:rPr>
                <w:rFonts w:ascii="Arial" w:cs="Arial" w:eastAsia="Arial" w:hAnsi="Arial"/>
                <w:sz w:val="10"/>
                <w:szCs w:val="10"/>
                <w:b w:val="1"/>
                <w:bCs w:val="1"/>
                <w:color w:val="auto"/>
              </w:rPr>
              <w:t>Document</w:t>
            </w:r>
          </w:p>
        </w:tc>
      </w:tr>
      <w:tr>
        <w:trPr>
          <w:trHeight w:val="173"/>
        </w:trPr>
        <w:tc>
          <w:tcPr>
            <w:tcW w:w="17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5"/>
                <w:szCs w:val="15"/>
                <w:color w:val="auto"/>
              </w:rPr>
            </w:pPr>
          </w:p>
        </w:tc>
        <w:tc>
          <w:tcPr>
            <w:tcW w:w="9520" w:type="dxa"/>
            <w:vAlign w:val="bottom"/>
            <w:tcBorders>
              <w:top w:val="single" w:sz="8" w:color="auto"/>
            </w:tcBorders>
          </w:tcPr>
          <w:p>
            <w:pPr>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Form of Ocugen, Inc. Certificate of Designation of Preferences, Rights and Limitations of Series B Convertible Preferred Stock</w:t>
              </w:r>
            </w:hyperlink>
          </w:p>
        </w:tc>
      </w:tr>
      <w:tr>
        <w:trPr>
          <w:trHeight w:val="189"/>
        </w:trPr>
        <w:tc>
          <w:tcPr>
            <w:tcW w:w="1700" w:type="dxa"/>
            <w:vAlign w:val="bottom"/>
          </w:tcPr>
          <w:p>
            <w:pPr>
              <w:spacing w:after="0"/>
              <w:rPr>
                <w:sz w:val="20"/>
                <w:szCs w:val="20"/>
                <w:color w:val="auto"/>
              </w:rPr>
            </w:pPr>
            <w:r>
              <w:rPr>
                <w:rFonts w:ascii="Arial" w:cs="Arial" w:eastAsia="Arial" w:hAnsi="Arial"/>
                <w:sz w:val="12"/>
                <w:szCs w:val="12"/>
                <w:color w:val="auto"/>
              </w:rPr>
              <w:t>99.1</w:t>
            </w:r>
          </w:p>
        </w:tc>
        <w:tc>
          <w:tcPr>
            <w:tcW w:w="80" w:type="dxa"/>
            <w:vAlign w:val="bottom"/>
          </w:tcPr>
          <w:p>
            <w:pPr>
              <w:spacing w:after="0"/>
              <w:rPr>
                <w:sz w:val="16"/>
                <w:szCs w:val="16"/>
                <w:color w:val="auto"/>
              </w:rPr>
            </w:pPr>
          </w:p>
        </w:tc>
        <w:tc>
          <w:tcPr>
            <w:tcW w:w="9520" w:type="dxa"/>
            <w:vAlign w:val="bottom"/>
          </w:tcPr>
          <w:p>
            <w:pPr>
              <w:spacing w:after="0"/>
              <w:rPr>
                <w:rFonts w:ascii="Arial" w:cs="Arial" w:eastAsia="Arial" w:hAnsi="Arial"/>
                <w:sz w:val="12"/>
                <w:szCs w:val="12"/>
                <w:u w:val="single" w:color="auto"/>
                <w:color w:val="0000FF"/>
              </w:rPr>
            </w:pPr>
            <w:hyperlink w:anchor="page17">
              <w:r>
                <w:rPr>
                  <w:rFonts w:ascii="Arial" w:cs="Arial" w:eastAsia="Arial" w:hAnsi="Arial"/>
                  <w:sz w:val="12"/>
                  <w:szCs w:val="12"/>
                  <w:u w:val="single" w:color="auto"/>
                  <w:color w:val="0000FF"/>
                </w:rPr>
                <w:t>Ocugen, Inc. Presentation</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160" w:right="2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 March 5, 2021</w:t>
      </w:r>
    </w:p>
    <w:p>
      <w:pPr>
        <w:spacing w:after="0" w:line="177" w:lineRule="exact"/>
        <w:rPr>
          <w:sz w:val="20"/>
          <w:szCs w:val="20"/>
          <w:color w:val="auto"/>
        </w:rPr>
      </w:pPr>
    </w:p>
    <w:p>
      <w:pPr>
        <w:jc w:val="center"/>
        <w:ind w:left="360"/>
        <w:spacing w:after="0"/>
        <w:rPr>
          <w:sz w:val="20"/>
          <w:szCs w:val="20"/>
          <w:color w:val="auto"/>
        </w:rPr>
      </w:pPr>
      <w:r>
        <w:rPr>
          <w:rFonts w:ascii="Arial" w:cs="Arial" w:eastAsia="Arial" w:hAnsi="Arial"/>
          <w:sz w:val="12"/>
          <w:szCs w:val="12"/>
          <w:color w:val="auto"/>
        </w:rPr>
        <w:t>OCUGEN, INC.</w:t>
      </w:r>
    </w:p>
    <w:p>
      <w:pPr>
        <w:spacing w:after="0" w:line="195" w:lineRule="exact"/>
        <w:rPr>
          <w:sz w:val="20"/>
          <w:szCs w:val="20"/>
          <w:color w:val="auto"/>
        </w:rPr>
      </w:pPr>
    </w:p>
    <w:tbl>
      <w:tblPr>
        <w:tblLayout w:type="fixed"/>
        <w:tblInd w:w="5440" w:type="dxa"/>
        <w:tblCellMar>
          <w:top w:w="0" w:type="dxa"/>
          <w:left w:w="0" w:type="dxa"/>
          <w:bottom w:w="0" w:type="dxa"/>
          <w:right w:w="0" w:type="dxa"/>
        </w:tblCellMar>
      </w:tblPr>
      <w:tr>
        <w:trPr>
          <w:trHeight w:val="153"/>
        </w:trPr>
        <w:tc>
          <w:tcPr>
            <w:tcW w:w="58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Shankar Musunuri</w:t>
            </w:r>
          </w:p>
        </w:tc>
      </w:tr>
      <w:tr>
        <w:trPr>
          <w:trHeight w:val="142"/>
        </w:trPr>
        <w:tc>
          <w:tcPr>
            <w:tcW w:w="580" w:type="dxa"/>
            <w:vAlign w:val="bottom"/>
          </w:tcPr>
          <w:p>
            <w:pPr>
              <w:spacing w:after="0"/>
              <w:rPr>
                <w:sz w:val="12"/>
                <w:szCs w:val="12"/>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Name: Shankar Musunuri</w:t>
            </w:r>
          </w:p>
        </w:tc>
      </w:tr>
      <w:tr>
        <w:trPr>
          <w:trHeight w:val="153"/>
        </w:trPr>
        <w:tc>
          <w:tcPr>
            <w:tcW w:w="58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Title: 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20"/>
          </w:cols>
          <w:pgMar w:left="300" w:top="1153"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2"/>
          <w:szCs w:val="12"/>
          <w:b w:val="1"/>
          <w:bCs w:val="1"/>
          <w:color w:val="auto"/>
        </w:rPr>
        <w:t>Exhibit 3.1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OCUGEN,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CERTIFICATE OF DESIGNATION OF PREFERENCES,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AND LIMITATIONS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SERIES B CONVERTIBLE PREFERRED STOCK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PURSUANT TO SECTION 151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DELAWARE GENERAL CORPORATION LAW</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Shankar Musunuri, does hereby certify that:</w:t>
      </w:r>
    </w:p>
    <w:p>
      <w:pPr>
        <w:spacing w:after="0" w:line="150" w:lineRule="exact"/>
        <w:rPr>
          <w:sz w:val="20"/>
          <w:szCs w:val="20"/>
          <w:color w:val="auto"/>
        </w:rPr>
      </w:pPr>
    </w:p>
    <w:p>
      <w:pPr>
        <w:ind w:left="540" w:hanging="116"/>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He is the Chief Executive Officer of Ocugen, Inc., a Delaware corporation (the “</w:t>
      </w:r>
      <w:r>
        <w:rPr>
          <w:rFonts w:ascii="Arial" w:cs="Arial" w:eastAsia="Arial" w:hAnsi="Arial"/>
          <w:sz w:val="12"/>
          <w:szCs w:val="12"/>
          <w:u w:val="single" w:color="auto"/>
          <w:color w:val="auto"/>
        </w:rPr>
        <w:t>Corporation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540" w:hanging="116"/>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Corporation is authorized to issue 10,000,000 shares of preferred stock, 30,000 of which are designated as Series A Convertible Preferred Stock.</w:t>
      </w:r>
    </w:p>
    <w:p>
      <w:pPr>
        <w:spacing w:after="0" w:line="150" w:lineRule="exact"/>
        <w:rPr>
          <w:rFonts w:ascii="Arial" w:cs="Arial" w:eastAsia="Arial" w:hAnsi="Arial"/>
          <w:sz w:val="12"/>
          <w:szCs w:val="12"/>
          <w:color w:val="auto"/>
        </w:rPr>
      </w:pPr>
    </w:p>
    <w:p>
      <w:pPr>
        <w:ind w:left="540" w:hanging="116"/>
        <w:spacing w:after="0"/>
        <w:tabs>
          <w:tab w:leader="none" w:pos="5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following resolutions were duly adopted by the board of directors of the Corporation (the “</w:t>
      </w:r>
      <w:r>
        <w:rPr>
          <w:rFonts w:ascii="Arial" w:cs="Arial" w:eastAsia="Arial" w:hAnsi="Arial"/>
          <w:sz w:val="12"/>
          <w:szCs w:val="12"/>
          <w:u w:val="single" w:color="auto"/>
          <w:color w:val="auto"/>
        </w:rPr>
        <w:t>Board of Directors</w:t>
      </w:r>
      <w:r>
        <w:rPr>
          <w:rFonts w:ascii="Arial" w:cs="Arial" w:eastAsia="Arial" w:hAnsi="Arial"/>
          <w:sz w:val="12"/>
          <w:szCs w:val="12"/>
          <w:color w:val="auto"/>
        </w:rPr>
        <w:t>”):</w:t>
      </w:r>
    </w:p>
    <w:p>
      <w:pPr>
        <w:spacing w:after="0" w:line="150"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WHEREAS, the certificate of incorporation of the Corporation provides for a class of its authorized stock known as preferred stock, consisting of 10,000,000 shares, $0.01 par value per share, issuable from time to time in one or more series;</w:t>
      </w:r>
    </w:p>
    <w:p>
      <w:pPr>
        <w:spacing w:after="0" w:line="11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WHEREAS, the Board of Directors is authorized, without further stockholder approval, to establish from time to time the number of shares to be included in each such series, and to fix the designation, powers, preferences, and rights of the shares of each such series and any qualifications, limitations or restrictions thereof; and</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WHEREAS, it is the desire of the Board of Directors, pursuant to such authority, to fix the rights, preferences, restrictions and other matters relating to a series of the preferred stock, which shall consist of up to 54,745 shares of the preferred stock which the Corporation has the authority to issue, as follows:</w:t>
      </w:r>
    </w:p>
    <w:p>
      <w:pPr>
        <w:spacing w:after="0" w:line="115"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NOW, THEREFORE, BE IT RESOLVED, that the Board of Directors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29"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TERMS OF PREFERRED STOCK</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w:t>
      </w:r>
      <w:r>
        <w:rPr>
          <w:rFonts w:ascii="Arial" w:cs="Arial" w:eastAsia="Arial" w:hAnsi="Arial"/>
          <w:sz w:val="12"/>
          <w:szCs w:val="12"/>
          <w:u w:val="single" w:color="auto"/>
          <w:color w:val="auto"/>
        </w:rPr>
        <w:t>Definitions</w:t>
      </w:r>
      <w:r>
        <w:rPr>
          <w:rFonts w:ascii="Arial" w:cs="Arial" w:eastAsia="Arial" w:hAnsi="Arial"/>
          <w:sz w:val="12"/>
          <w:szCs w:val="12"/>
          <w:color w:val="auto"/>
        </w:rPr>
        <w:t>. For the purposes hereof, the following terms shall have the following meanings:</w:t>
      </w:r>
    </w:p>
    <w:p>
      <w:pPr>
        <w:spacing w:after="0" w:line="78"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Alternate Consideration</w:t>
      </w:r>
      <w:r>
        <w:rPr>
          <w:rFonts w:ascii="Arial" w:cs="Arial" w:eastAsia="Arial" w:hAnsi="Arial"/>
          <w:sz w:val="12"/>
          <w:szCs w:val="12"/>
          <w:color w:val="auto"/>
        </w:rPr>
        <w:t>” shall have the meaning set forth in Section 7(d).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Bharat</w:t>
      </w:r>
      <w:r>
        <w:rPr>
          <w:rFonts w:ascii="Arial" w:cs="Arial" w:eastAsia="Arial" w:hAnsi="Arial"/>
          <w:sz w:val="12"/>
          <w:szCs w:val="12"/>
          <w:color w:val="auto"/>
        </w:rPr>
        <w:t>” shall mean Bharat Biotech International Limited.</w:t>
      </w:r>
    </w:p>
    <w:p>
      <w:pPr>
        <w:spacing w:after="0" w:line="78"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Certificate of Incorporation</w:t>
      </w:r>
      <w:r>
        <w:rPr>
          <w:rFonts w:ascii="Arial" w:cs="Arial" w:eastAsia="Arial" w:hAnsi="Arial"/>
          <w:sz w:val="12"/>
          <w:szCs w:val="12"/>
          <w:color w:val="auto"/>
        </w:rPr>
        <w:t>” means the Sixth Amended and Restated Certificate of Incorporation of Ocugen, Inc.,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135" w:right="299" w:bottom="1440" w:gutter="0" w:footer="0" w:header="0"/>
        </w:sectPr>
      </w:pPr>
    </w:p>
    <w:bookmarkStart w:id="6" w:name="page7"/>
    <w:bookmarkEnd w:id="6"/>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means the closing of the purchase and sale of the Preferred Stock pursuant to Section 1 of the Purchase Agreement.</w:t>
      </w:r>
    </w:p>
    <w:p>
      <w:pPr>
        <w:spacing w:after="0" w:line="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means the Trading Day on which this Certificate of Designation has been filed with the Secretary of State of the State of Delaware, the Purchase Agreement has been executed and delivered by the applicable parties thereto and all conditions precedent to the Corporation’s obligations to deliver the Preferred Stock have been satisfied or waived.</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Commission</w:t>
      </w:r>
      <w:r>
        <w:rPr>
          <w:rFonts w:ascii="Arial" w:cs="Arial" w:eastAsia="Arial" w:hAnsi="Arial"/>
          <w:sz w:val="12"/>
          <w:szCs w:val="12"/>
          <w:color w:val="auto"/>
        </w:rPr>
        <w:t>” means the United States Securities and Exchange Commission.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Stock</w:t>
      </w:r>
      <w:r>
        <w:rPr>
          <w:rFonts w:ascii="Arial" w:cs="Arial" w:eastAsia="Arial" w:hAnsi="Arial"/>
          <w:sz w:val="12"/>
          <w:szCs w:val="12"/>
          <w:color w:val="auto"/>
        </w:rPr>
        <w:t>” means the Corporation’s common stock, par value $0.01 per share, and stock of any other class of securities into which such securities may hereafter be reclassified or changed.</w:t>
      </w:r>
    </w:p>
    <w:p>
      <w:pPr>
        <w:spacing w:after="0" w:line="7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Common Stock Equivalents</w:t>
      </w:r>
      <w:r>
        <w:rPr>
          <w:rFonts w:ascii="Arial" w:cs="Arial" w:eastAsia="Arial" w:hAnsi="Arial"/>
          <w:sz w:val="12"/>
          <w:szCs w:val="12"/>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Date</w:t>
      </w:r>
      <w:r>
        <w:rPr>
          <w:rFonts w:ascii="Arial" w:cs="Arial" w:eastAsia="Arial" w:hAnsi="Arial"/>
          <w:sz w:val="12"/>
          <w:szCs w:val="12"/>
          <w:color w:val="auto"/>
        </w:rPr>
        <w:t>” shall have the meaning set forth in Section 6(a).</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Events</w:t>
      </w:r>
      <w:r>
        <w:rPr>
          <w:rFonts w:ascii="Arial" w:cs="Arial" w:eastAsia="Arial" w:hAnsi="Arial"/>
          <w:sz w:val="12"/>
          <w:szCs w:val="12"/>
          <w:color w:val="auto"/>
        </w:rPr>
        <w:t>” shall have the meaning set forth in Section 6(a).</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Ratio</w:t>
      </w:r>
      <w:r>
        <w:rPr>
          <w:rFonts w:ascii="Arial" w:cs="Arial" w:eastAsia="Arial" w:hAnsi="Arial"/>
          <w:sz w:val="12"/>
          <w:szCs w:val="12"/>
          <w:color w:val="auto"/>
        </w:rPr>
        <w:t>” shall have the meaning set forth in Section 6(a).</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Shares</w:t>
      </w:r>
      <w:r>
        <w:rPr>
          <w:rFonts w:ascii="Arial" w:cs="Arial" w:eastAsia="Arial" w:hAnsi="Arial"/>
          <w:sz w:val="12"/>
          <w:szCs w:val="12"/>
          <w:color w:val="auto"/>
        </w:rPr>
        <w:t>” means, collectively, the shares of Common Stock issuable upon conversion of the shares of Preferred Stock in accordance with the terms hereof.</w:t>
      </w:r>
    </w:p>
    <w:p>
      <w:pPr>
        <w:spacing w:after="0" w:line="7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Conversion Shares Registration Statement</w:t>
      </w:r>
      <w:r>
        <w:rPr>
          <w:rFonts w:ascii="Arial" w:cs="Arial" w:eastAsia="Arial" w:hAnsi="Arial"/>
          <w:sz w:val="12"/>
          <w:szCs w:val="12"/>
          <w:color w:val="auto"/>
        </w:rPr>
        <w:t>” means a registration statement that registers the resale of all Conversion Shares of the Holders, who shall be named as “selling stockholders” therein and meets the requirements of the Purchase Agreement.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Co-Development Agreement</w:t>
      </w:r>
      <w:r>
        <w:rPr>
          <w:rFonts w:ascii="Arial" w:cs="Arial" w:eastAsia="Arial" w:hAnsi="Arial"/>
          <w:sz w:val="12"/>
          <w:szCs w:val="12"/>
          <w:color w:val="auto"/>
        </w:rPr>
        <w:t>” means the Co-Development, Supply and Commercialization Agreement, dated February 2, 2021, among the Corporation and Bharat.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Distribution</w:t>
      </w:r>
      <w:r>
        <w:rPr>
          <w:rFonts w:ascii="Arial" w:cs="Arial" w:eastAsia="Arial" w:hAnsi="Arial"/>
          <w:sz w:val="12"/>
          <w:szCs w:val="12"/>
          <w:color w:val="auto"/>
        </w:rPr>
        <w:t>” shall have the meaning set forth in Section 7(b).</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Date</w:t>
      </w:r>
      <w:r>
        <w:rPr>
          <w:rFonts w:ascii="Arial" w:cs="Arial" w:eastAsia="Arial" w:hAnsi="Arial"/>
          <w:sz w:val="12"/>
          <w:szCs w:val="12"/>
          <w:color w:val="auto"/>
        </w:rPr>
        <w:t>” means the date that the Conversion Shares Registration Statement filed by the Corporation pursuant to the Purchase Agreement is first declared effective by the Commission.</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Securities Exchange Act of 1934, as amended, and the rules and regulations promulgated thereunder.</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Fundamental Transaction</w:t>
      </w:r>
      <w:r>
        <w:rPr>
          <w:rFonts w:ascii="Arial" w:cs="Arial" w:eastAsia="Arial" w:hAnsi="Arial"/>
          <w:sz w:val="12"/>
          <w:szCs w:val="12"/>
          <w:color w:val="auto"/>
        </w:rPr>
        <w:t>” shall have the meaning set forth in Section 7(d).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Holder(s)</w:t>
      </w:r>
      <w:r>
        <w:rPr>
          <w:rFonts w:ascii="Arial" w:cs="Arial" w:eastAsia="Arial" w:hAnsi="Arial"/>
          <w:sz w:val="12"/>
          <w:szCs w:val="12"/>
          <w:color w:val="auto"/>
        </w:rPr>
        <w:t>” shall have the meaning given such term in Section 2.</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Liquidation</w:t>
      </w:r>
      <w:r>
        <w:rPr>
          <w:rFonts w:ascii="Arial" w:cs="Arial" w:eastAsia="Arial" w:hAnsi="Arial"/>
          <w:sz w:val="12"/>
          <w:szCs w:val="12"/>
          <w:color w:val="auto"/>
        </w:rPr>
        <w:t>” shall have the meaning set forth in Section 5.</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New York Courts</w:t>
      </w:r>
      <w:r>
        <w:rPr>
          <w:rFonts w:ascii="Arial" w:cs="Arial" w:eastAsia="Arial" w:hAnsi="Arial"/>
          <w:sz w:val="12"/>
          <w:szCs w:val="12"/>
          <w:color w:val="auto"/>
        </w:rPr>
        <w:t>” shall have the meaning set forth in Section 11(d).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 of Conversion</w:t>
      </w:r>
      <w:r>
        <w:rPr>
          <w:rFonts w:ascii="Arial" w:cs="Arial" w:eastAsia="Arial" w:hAnsi="Arial"/>
          <w:sz w:val="12"/>
          <w:szCs w:val="12"/>
          <w:color w:val="auto"/>
        </w:rPr>
        <w:t>” shall have the meaning set forth in Section 6(a).</w:t>
      </w:r>
    </w:p>
    <w:p>
      <w:pPr>
        <w:spacing w:after="0" w:line="7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Original Issue Date</w:t>
      </w:r>
      <w:r>
        <w:rPr>
          <w:rFonts w:ascii="Arial" w:cs="Arial" w:eastAsia="Arial" w:hAnsi="Arial"/>
          <w:sz w:val="12"/>
          <w:szCs w:val="12"/>
          <w:color w:val="auto"/>
        </w:rPr>
        <w:t>” means the date of the first issuance of any shares of the Preferred Stock regardless of the number of transfers of any particular shares of Preferred Stock and regardless of the number of certificates which may be issued to evidence such Preferred Stock.</w:t>
      </w:r>
    </w:p>
    <w:p>
      <w:pPr>
        <w:spacing w:after="0" w:line="4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Preferred Stock</w:t>
      </w:r>
      <w:r>
        <w:rPr>
          <w:rFonts w:ascii="Arial" w:cs="Arial" w:eastAsia="Arial" w:hAnsi="Arial"/>
          <w:sz w:val="12"/>
          <w:szCs w:val="12"/>
          <w:color w:val="auto"/>
        </w:rPr>
        <w:t>” shall have the meaning set forth in Section 2.</w:t>
      </w:r>
    </w:p>
    <w:p>
      <w:pPr>
        <w:spacing w:after="0" w:line="78"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Agreement</w:t>
      </w:r>
      <w:r>
        <w:rPr>
          <w:rFonts w:ascii="Arial" w:cs="Arial" w:eastAsia="Arial" w:hAnsi="Arial"/>
          <w:sz w:val="12"/>
          <w:szCs w:val="12"/>
          <w:color w:val="auto"/>
        </w:rPr>
        <w:t>” means the Series B Preferred Stock Purchase Agreement, dated March 1, 2021, among the Corporation and the original Holder, as amended, modified or supplemented from time to time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00"/>
          </w:cols>
          <w:pgMar w:left="300" w:top="1067" w:right="399" w:bottom="1440" w:gutter="0" w:footer="0" w:header="0"/>
        </w:sectPr>
      </w:pPr>
    </w:p>
    <w:bookmarkStart w:id="7" w:name="page8"/>
    <w:bookmarkEnd w:id="7"/>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Rights</w:t>
      </w:r>
      <w:r>
        <w:rPr>
          <w:rFonts w:ascii="Arial" w:cs="Arial" w:eastAsia="Arial" w:hAnsi="Arial"/>
          <w:sz w:val="12"/>
          <w:szCs w:val="12"/>
          <w:color w:val="auto"/>
        </w:rPr>
        <w:t>” shall have the meaning set forth in Section 7(b).</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 and the rules and regulations promulgated thereunder.</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 Delivery Date</w:t>
      </w:r>
      <w:r>
        <w:rPr>
          <w:rFonts w:ascii="Arial" w:cs="Arial" w:eastAsia="Arial" w:hAnsi="Arial"/>
          <w:sz w:val="12"/>
          <w:szCs w:val="12"/>
          <w:color w:val="auto"/>
        </w:rPr>
        <w:t>” shall have the meaning set forth in Section 6(b)(i).</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means the shares of Preferred Stock issued to the original Holder pursuant to the Purchase Agreement.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Standard Settlement Period</w:t>
      </w:r>
      <w:r>
        <w:rPr>
          <w:rFonts w:ascii="Arial" w:cs="Arial" w:eastAsia="Arial" w:hAnsi="Arial"/>
          <w:sz w:val="12"/>
          <w:szCs w:val="12"/>
          <w:color w:val="auto"/>
        </w:rPr>
        <w:t>” shall have the meaning set forth in Section 6(b)(i).</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Subscription Amount</w:t>
      </w:r>
      <w:r>
        <w:rPr>
          <w:rFonts w:ascii="Arial" w:cs="Arial" w:eastAsia="Arial" w:hAnsi="Arial"/>
          <w:sz w:val="11"/>
          <w:szCs w:val="11"/>
          <w:color w:val="auto"/>
        </w:rPr>
        <w:t>” shall mean, as to each Holder, the aggregate amount to be paid for the Shares purchased pursuant to the Purchase Agreement, in United States dollars and in immediately available funds.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Successor Entity</w:t>
      </w:r>
      <w:r>
        <w:rPr>
          <w:rFonts w:ascii="Arial" w:cs="Arial" w:eastAsia="Arial" w:hAnsi="Arial"/>
          <w:sz w:val="12"/>
          <w:szCs w:val="12"/>
          <w:color w:val="auto"/>
        </w:rPr>
        <w:t>” shall have the meaning set forth in Section 7(e).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Day</w:t>
      </w:r>
      <w:r>
        <w:rPr>
          <w:rFonts w:ascii="Arial" w:cs="Arial" w:eastAsia="Arial" w:hAnsi="Arial"/>
          <w:sz w:val="12"/>
          <w:szCs w:val="12"/>
          <w:color w:val="auto"/>
        </w:rPr>
        <w:t>” means a day on which the principal Trading Market is open for business.</w:t>
      </w:r>
    </w:p>
    <w:p>
      <w:pPr>
        <w:spacing w:after="0" w:line="78"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Trading Market</w:t>
      </w:r>
      <w:r>
        <w:rPr>
          <w:rFonts w:ascii="Arial" w:cs="Arial" w:eastAsia="Arial" w:hAnsi="Arial"/>
          <w:sz w:val="12"/>
          <w:szCs w:val="12"/>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(or any successors to any of the foregoing).</w:t>
      </w:r>
    </w:p>
    <w:p>
      <w:pPr>
        <w:spacing w:after="0" w:line="4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 Documents</w:t>
      </w:r>
      <w:r>
        <w:rPr>
          <w:rFonts w:ascii="Arial" w:cs="Arial" w:eastAsia="Arial" w:hAnsi="Arial"/>
          <w:sz w:val="12"/>
          <w:szCs w:val="12"/>
          <w:color w:val="auto"/>
        </w:rPr>
        <w:t>” means this Certificate of Designation, the Purchase Agreement, all exhibits and schedules thereto and hereto and any other documents or agreements executed in connection with the transactions contemplated pursuant to the Purchase Agreement.</w:t>
      </w:r>
    </w:p>
    <w:p>
      <w:pPr>
        <w:spacing w:after="0" w:line="4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Transfer Agent</w:t>
      </w:r>
      <w:r>
        <w:rPr>
          <w:rFonts w:ascii="Arial" w:cs="Arial" w:eastAsia="Arial" w:hAnsi="Arial"/>
          <w:sz w:val="12"/>
          <w:szCs w:val="12"/>
          <w:color w:val="auto"/>
        </w:rPr>
        <w:t xml:space="preserve">” means Broadridge Corporate Issuer Solutions, Inc., the current transfer agent of the Corporation, with a mailing address of 1717 Arch St., Ste. 1300, Philadelphia, PA 19103 and an email address relating to issuances of </w:t>
      </w:r>
      <w:r>
        <w:rPr>
          <w:rFonts w:ascii="Arial" w:cs="Arial" w:eastAsia="Arial" w:hAnsi="Arial"/>
          <w:sz w:val="12"/>
          <w:szCs w:val="12"/>
          <w:u w:val="single" w:color="auto"/>
          <w:color w:val="auto"/>
        </w:rPr>
        <w:t>issuance@broadridge.com</w:t>
      </w:r>
      <w:r>
        <w:rPr>
          <w:rFonts w:ascii="Arial" w:cs="Arial" w:eastAsia="Arial" w:hAnsi="Arial"/>
          <w:sz w:val="12"/>
          <w:szCs w:val="12"/>
          <w:color w:val="auto"/>
        </w:rPr>
        <w:t>, and any successor transfer agent of the Corporation.</w:t>
      </w:r>
    </w:p>
    <w:p>
      <w:pPr>
        <w:spacing w:after="0" w:line="115"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w:t>
      </w:r>
      <w:r>
        <w:rPr>
          <w:rFonts w:ascii="Arial" w:cs="Arial" w:eastAsia="Arial" w:hAnsi="Arial"/>
          <w:sz w:val="12"/>
          <w:szCs w:val="12"/>
          <w:u w:val="single" w:color="auto"/>
          <w:color w:val="auto"/>
        </w:rPr>
        <w:t>Designation, Amount and Par Value</w:t>
      </w:r>
      <w:r>
        <w:rPr>
          <w:rFonts w:ascii="Arial" w:cs="Arial" w:eastAsia="Arial" w:hAnsi="Arial"/>
          <w:sz w:val="12"/>
          <w:szCs w:val="12"/>
          <w:color w:val="auto"/>
        </w:rPr>
        <w:t>. The series of preferred stock shall be designated as its Series B Convertible Preferred Stock (the “</w:t>
      </w:r>
      <w:r>
        <w:rPr>
          <w:rFonts w:ascii="Arial" w:cs="Arial" w:eastAsia="Arial" w:hAnsi="Arial"/>
          <w:sz w:val="12"/>
          <w:szCs w:val="12"/>
          <w:u w:val="single" w:color="auto"/>
          <w:color w:val="auto"/>
        </w:rPr>
        <w:t>Preferred Stock</w:t>
      </w:r>
      <w:r>
        <w:rPr>
          <w:rFonts w:ascii="Arial" w:cs="Arial" w:eastAsia="Arial" w:hAnsi="Arial"/>
          <w:sz w:val="12"/>
          <w:szCs w:val="12"/>
          <w:color w:val="auto"/>
        </w:rPr>
        <w:t>”) and the number of shares so designated shall be up to 54,745 (which shall not be subject to increase without the written consent of holders of a majority of the then-outstanding shares of Preferred Stock (each, a “</w:t>
      </w:r>
      <w:r>
        <w:rPr>
          <w:rFonts w:ascii="Arial" w:cs="Arial" w:eastAsia="Arial" w:hAnsi="Arial"/>
          <w:sz w:val="12"/>
          <w:szCs w:val="12"/>
          <w:u w:val="single" w:color="auto"/>
          <w:color w:val="auto"/>
        </w:rPr>
        <w:t>Holder</w:t>
      </w:r>
      <w:r>
        <w:rPr>
          <w:rFonts w:ascii="Arial" w:cs="Arial" w:eastAsia="Arial" w:hAnsi="Arial"/>
          <w:sz w:val="12"/>
          <w:szCs w:val="12"/>
          <w:color w:val="auto"/>
        </w:rPr>
        <w:t>” and collectively, the “</w:t>
      </w:r>
      <w:r>
        <w:rPr>
          <w:rFonts w:ascii="Arial" w:cs="Arial" w:eastAsia="Arial" w:hAnsi="Arial"/>
          <w:sz w:val="12"/>
          <w:szCs w:val="12"/>
          <w:u w:val="single" w:color="auto"/>
          <w:color w:val="auto"/>
        </w:rPr>
        <w:t>Holders</w:t>
      </w:r>
      <w:r>
        <w:rPr>
          <w:rFonts w:ascii="Arial" w:cs="Arial" w:eastAsia="Arial" w:hAnsi="Arial"/>
          <w:sz w:val="12"/>
          <w:szCs w:val="12"/>
          <w:color w:val="auto"/>
        </w:rPr>
        <w:t>”)). Each share of Preferred Stock shall have a par value of $0.01 per share. The Preferred Stock will initially be issued in book-entry form.</w:t>
      </w:r>
    </w:p>
    <w:p>
      <w:pPr>
        <w:spacing w:after="0" w:line="122" w:lineRule="exact"/>
        <w:rPr>
          <w:sz w:val="20"/>
          <w:szCs w:val="20"/>
          <w:color w:val="auto"/>
        </w:rPr>
      </w:pPr>
    </w:p>
    <w:p>
      <w:pPr>
        <w:ind w:right="260" w:firstLine="216"/>
        <w:spacing w:after="0" w:line="263" w:lineRule="auto"/>
        <w:rPr>
          <w:sz w:val="20"/>
          <w:szCs w:val="20"/>
          <w:color w:val="auto"/>
        </w:rPr>
      </w:pPr>
      <w:r>
        <w:rPr>
          <w:rFonts w:ascii="Arial" w:cs="Arial" w:eastAsia="Arial" w:hAnsi="Arial"/>
          <w:sz w:val="12"/>
          <w:szCs w:val="12"/>
          <w:u w:val="single" w:color="auto"/>
          <w:color w:val="auto"/>
        </w:rPr>
        <w:t>Section 3</w:t>
      </w:r>
      <w:r>
        <w:rPr>
          <w:rFonts w:ascii="Arial" w:cs="Arial" w:eastAsia="Arial" w:hAnsi="Arial"/>
          <w:sz w:val="12"/>
          <w:szCs w:val="12"/>
          <w:color w:val="auto"/>
        </w:rPr>
        <w:t xml:space="preserve">. </w:t>
      </w:r>
      <w:r>
        <w:rPr>
          <w:rFonts w:ascii="Arial" w:cs="Arial" w:eastAsia="Arial" w:hAnsi="Arial"/>
          <w:sz w:val="12"/>
          <w:szCs w:val="12"/>
          <w:u w:val="single" w:color="auto"/>
          <w:color w:val="auto"/>
        </w:rPr>
        <w:t>Dividends</w:t>
      </w:r>
      <w:r>
        <w:rPr>
          <w:rFonts w:ascii="Arial" w:cs="Arial" w:eastAsia="Arial" w:hAnsi="Arial"/>
          <w:sz w:val="12"/>
          <w:szCs w:val="12"/>
          <w:color w:val="auto"/>
        </w:rPr>
        <w:t>. Except for stock dividends or distributions for which adjustments are to be made pursuant to Section 7, Holders shall be entitled to receive, and the Corporation shall pay, dividends on shares of Preferred Stock equal (on an as-if-converted-to-Common-Stock basis) to and in the same form as dividends actually paid on shares of the Common Stock when, as and if such dividends are paid on shares of the Common Stock. No other dividends shall be paid on shares of Preferred Stock.</w:t>
      </w:r>
    </w:p>
    <w:p>
      <w:pPr>
        <w:spacing w:after="0" w:line="122"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u w:val="single" w:color="auto"/>
          <w:color w:val="auto"/>
        </w:rPr>
        <w:t>Section 4</w:t>
      </w:r>
      <w:r>
        <w:rPr>
          <w:rFonts w:ascii="Arial" w:cs="Arial" w:eastAsia="Arial" w:hAnsi="Arial"/>
          <w:sz w:val="12"/>
          <w:szCs w:val="12"/>
          <w:color w:val="auto"/>
        </w:rPr>
        <w:t xml:space="preserve">. </w:t>
      </w:r>
      <w:r>
        <w:rPr>
          <w:rFonts w:ascii="Arial" w:cs="Arial" w:eastAsia="Arial" w:hAnsi="Arial"/>
          <w:sz w:val="12"/>
          <w:szCs w:val="12"/>
          <w:u w:val="single" w:color="auto"/>
          <w:color w:val="auto"/>
        </w:rPr>
        <w:t>Voting Rights</w:t>
      </w:r>
      <w:r>
        <w:rPr>
          <w:rFonts w:ascii="Arial" w:cs="Arial" w:eastAsia="Arial" w:hAnsi="Arial"/>
          <w:sz w:val="12"/>
          <w:szCs w:val="12"/>
          <w:color w:val="auto"/>
        </w:rPr>
        <w:t>. Except as otherwise provided herein or as otherwise required by law, the Preferred Stock shall have no voting rights. However, as long as any shares of Preferred Stock are outstanding, the Corporation shall not, without the affirmative vote of the Holders of a majority of the then-outstanding shares of the Preferred Stock, (a) alter or change adversely the powers, preferences or rights given to the Preferred Stock or alter or amend this Certificate of Designation, (b) amend the Certificate of Incorporation or other charter documents in any manner that adversely affects any rights of the Holders, (c) increase the number of authorized shares of Preferred Stock, or (d) enter into any agreement with respect to any of the foregoing.</w:t>
      </w:r>
    </w:p>
    <w:p>
      <w:pPr>
        <w:spacing w:after="0" w:line="124" w:lineRule="exact"/>
        <w:rPr>
          <w:sz w:val="20"/>
          <w:szCs w:val="20"/>
          <w:color w:val="auto"/>
        </w:rPr>
      </w:pPr>
    </w:p>
    <w:p>
      <w:pPr>
        <w:jc w:val="both"/>
        <w:ind w:right="20" w:firstLine="216"/>
        <w:spacing w:after="0" w:line="298" w:lineRule="auto"/>
        <w:rPr>
          <w:sz w:val="20"/>
          <w:szCs w:val="20"/>
          <w:color w:val="auto"/>
        </w:rPr>
      </w:pP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w:t>
      </w:r>
      <w:r>
        <w:rPr>
          <w:rFonts w:ascii="Arial" w:cs="Arial" w:eastAsia="Arial" w:hAnsi="Arial"/>
          <w:sz w:val="11"/>
          <w:szCs w:val="11"/>
          <w:u w:val="single" w:color="auto"/>
          <w:color w:val="auto"/>
        </w:rPr>
        <w:t>Liquidation</w:t>
      </w:r>
      <w:r>
        <w:rPr>
          <w:rFonts w:ascii="Arial" w:cs="Arial" w:eastAsia="Arial" w:hAnsi="Arial"/>
          <w:sz w:val="11"/>
          <w:szCs w:val="11"/>
          <w:color w:val="auto"/>
        </w:rPr>
        <w:t>. Upon any liquidation, dissolution or winding-up of the Corporation, whether voluntary or involuntary (a “</w:t>
      </w:r>
      <w:r>
        <w:rPr>
          <w:rFonts w:ascii="Arial" w:cs="Arial" w:eastAsia="Arial" w:hAnsi="Arial"/>
          <w:sz w:val="11"/>
          <w:szCs w:val="11"/>
          <w:u w:val="single" w:color="auto"/>
          <w:color w:val="auto"/>
        </w:rPr>
        <w:t>Liquidation</w:t>
      </w:r>
      <w:r>
        <w:rPr>
          <w:rFonts w:ascii="Arial" w:cs="Arial" w:eastAsia="Arial" w:hAnsi="Arial"/>
          <w:sz w:val="11"/>
          <w:szCs w:val="11"/>
          <w:color w:val="auto"/>
        </w:rPr>
        <w:t>”), the Holders shall be entitled to receive out of the assets, whether capital or surplus, of the Corporation the same amount that a holder of Common Stock would receive if the Preferred Stock were fully converted (disregarding for such purposes any conversion limitations hereunder) to Common Stock which amounts shall be paid pari passu with all holders of Common Stock. The Corporation shall mail written notice of any such Liquidation, not less than 45 days prior to the payment date stated therein, to each Holder.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60"/>
          </w:cols>
          <w:pgMar w:left="300" w:top="1067" w:right="339" w:bottom="1440" w:gutter="0" w:footer="0" w:header="0"/>
        </w:sectPr>
      </w:pPr>
    </w:p>
    <w:bookmarkStart w:id="8" w:name="page9"/>
    <w:bookmarkEnd w:id="8"/>
    <w:p>
      <w:pPr>
        <w:ind w:left="200"/>
        <w:spacing w:after="0"/>
        <w:rPr>
          <w:sz w:val="20"/>
          <w:szCs w:val="20"/>
          <w:color w:val="auto"/>
        </w:rPr>
      </w:pP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w:t>
      </w:r>
      <w:r>
        <w:rPr>
          <w:rFonts w:ascii="Arial" w:cs="Arial" w:eastAsia="Arial" w:hAnsi="Arial"/>
          <w:sz w:val="12"/>
          <w:szCs w:val="12"/>
          <w:u w:val="single" w:color="auto"/>
          <w:color w:val="auto"/>
        </w:rPr>
        <w:t>Conversion</w:t>
      </w:r>
      <w:r>
        <w:rPr>
          <w:rFonts w:ascii="Arial" w:cs="Arial" w:eastAsia="Arial" w:hAnsi="Arial"/>
          <w:sz w:val="12"/>
          <w:szCs w:val="12"/>
          <w:color w:val="auto"/>
        </w:rPr>
        <w:t>.</w:t>
      </w:r>
    </w:p>
    <w:p>
      <w:pPr>
        <w:spacing w:after="0" w:line="78" w:lineRule="exact"/>
        <w:rPr>
          <w:sz w:val="20"/>
          <w:szCs w:val="20"/>
          <w:color w:val="auto"/>
        </w:rPr>
      </w:pPr>
    </w:p>
    <w:p>
      <w:pPr>
        <w:ind w:right="20" w:firstLine="424"/>
        <w:spacing w:after="0" w:line="277" w:lineRule="auto"/>
        <w:tabs>
          <w:tab w:leader="none" w:pos="555" w:val="left"/>
        </w:tabs>
        <w:numPr>
          <w:ilvl w:val="0"/>
          <w:numId w:val="3"/>
        </w:numPr>
        <w:rPr>
          <w:rFonts w:ascii="Arial" w:cs="Arial" w:eastAsia="Arial" w:hAnsi="Arial"/>
          <w:sz w:val="11"/>
          <w:szCs w:val="11"/>
          <w:color w:val="auto"/>
        </w:rPr>
      </w:pPr>
      <w:r>
        <w:rPr>
          <w:rFonts w:ascii="Arial" w:cs="Arial" w:eastAsia="Arial" w:hAnsi="Arial"/>
          <w:sz w:val="11"/>
          <w:szCs w:val="11"/>
          <w:u w:val="single" w:color="auto"/>
          <w:color w:val="auto"/>
        </w:rPr>
        <w:t>Conversions at Option of Holder</w:t>
      </w:r>
      <w:r>
        <w:rPr>
          <w:rFonts w:ascii="Arial" w:cs="Arial" w:eastAsia="Arial" w:hAnsi="Arial"/>
          <w:sz w:val="11"/>
          <w:szCs w:val="11"/>
          <w:color w:val="auto"/>
        </w:rPr>
        <w:t>. Each share of Preferred Stock shall be convertible, at any time and from time to time from but only after the occurrence of (i) the Corporation’s receipt of stockholder approval to increase the authorized but unissued shares of Common Stock under the Certificate of Incorporation to such number of shares of Common Stock as shall be sufficient to convert the total outstanding shares of Preferred Stock into shares of Common Stock pursuant to this Section 6(a) and the filing of an amendment to the Certificate of Incorporation to effect such increase and (ii) the Corporation’s receipt of shipments by Bharat of the first 10 million doses of COVAXIN manufactured by Bharat pursuant to a supply agreement to be entered into in connection with the Co-Development Agreement (collectively, the “</w:t>
      </w:r>
      <w:r>
        <w:rPr>
          <w:rFonts w:ascii="Arial" w:cs="Arial" w:eastAsia="Arial" w:hAnsi="Arial"/>
          <w:sz w:val="11"/>
          <w:szCs w:val="11"/>
          <w:u w:val="single" w:color="auto"/>
          <w:color w:val="auto"/>
        </w:rPr>
        <w:t>Conversion Events</w:t>
      </w:r>
      <w:r>
        <w:rPr>
          <w:rFonts w:ascii="Arial" w:cs="Arial" w:eastAsia="Arial" w:hAnsi="Arial"/>
          <w:sz w:val="11"/>
          <w:szCs w:val="11"/>
          <w:color w:val="auto"/>
        </w:rPr>
        <w:t>”), at the option of the Holder thereof, into shares of Common Stock on a one-for-ten basis (the “</w:t>
      </w:r>
      <w:r>
        <w:rPr>
          <w:rFonts w:ascii="Arial" w:cs="Arial" w:eastAsia="Arial" w:hAnsi="Arial"/>
          <w:sz w:val="11"/>
          <w:szCs w:val="11"/>
          <w:u w:val="single" w:color="auto"/>
          <w:color w:val="auto"/>
        </w:rPr>
        <w:t>Conversion Ratio</w:t>
      </w:r>
      <w:r>
        <w:rPr>
          <w:rFonts w:ascii="Arial" w:cs="Arial" w:eastAsia="Arial" w:hAnsi="Arial"/>
          <w:sz w:val="11"/>
          <w:szCs w:val="11"/>
          <w:color w:val="auto"/>
        </w:rPr>
        <w:t xml:space="preserve">”). Holders shall effect conversions by providing the Corporation with the form of conversion notice attached hereto as </w:t>
      </w:r>
      <w:r>
        <w:rPr>
          <w:rFonts w:ascii="Arial" w:cs="Arial" w:eastAsia="Arial" w:hAnsi="Arial"/>
          <w:sz w:val="11"/>
          <w:szCs w:val="11"/>
          <w:u w:val="single" w:color="auto"/>
          <w:color w:val="auto"/>
        </w:rPr>
        <w:t>Annex A</w:t>
      </w:r>
      <w:r>
        <w:rPr>
          <w:rFonts w:ascii="Arial" w:cs="Arial" w:eastAsia="Arial" w:hAnsi="Arial"/>
          <w:sz w:val="11"/>
          <w:szCs w:val="11"/>
          <w:color w:val="auto"/>
        </w:rPr>
        <w:t xml:space="preserve"> (a “</w:t>
      </w:r>
      <w:r>
        <w:rPr>
          <w:rFonts w:ascii="Arial" w:cs="Arial" w:eastAsia="Arial" w:hAnsi="Arial"/>
          <w:sz w:val="11"/>
          <w:szCs w:val="11"/>
          <w:u w:val="single" w:color="auto"/>
          <w:color w:val="auto"/>
        </w:rPr>
        <w:t>Notice of Conversion</w:t>
      </w:r>
      <w:r>
        <w:rPr>
          <w:rFonts w:ascii="Arial" w:cs="Arial" w:eastAsia="Arial" w:hAnsi="Arial"/>
          <w:sz w:val="11"/>
          <w:szCs w:val="11"/>
          <w:color w:val="auto"/>
        </w:rPr>
        <w:t>”). Each Notice of Conversion shall specify the number of shares of Preferred Stock to be converted, the number of shares of Preferred Stock owned prior to the conversion at issue, the number of shares of Preferred Stock owned subsequent to the conversion at issue and the date on which such conversion is to be effected, which date may not be prior to the date the applicable Holder delivers by facsimile such Notice of Conversion to the Corporation (such date, the “</w:t>
      </w:r>
      <w:r>
        <w:rPr>
          <w:rFonts w:ascii="Arial" w:cs="Arial" w:eastAsia="Arial" w:hAnsi="Arial"/>
          <w:sz w:val="11"/>
          <w:szCs w:val="11"/>
          <w:u w:val="single" w:color="auto"/>
          <w:color w:val="auto"/>
        </w:rPr>
        <w:t>Conversion Date</w:t>
      </w:r>
      <w:r>
        <w:rPr>
          <w:rFonts w:ascii="Arial" w:cs="Arial" w:eastAsia="Arial" w:hAnsi="Arial"/>
          <w:sz w:val="11"/>
          <w:szCs w:val="11"/>
          <w:color w:val="auto"/>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shares of Preferred Stock, a Holder shall not be required to surrender any certificate(s) representing the shares of Preferred Stock to the Corporation unless all of the shares of Preferred Stock represented thereby are so converted, in which case such Holder shall deliver the certificate representing such shares of Preferred Stock promptly following the Conversion Date at issue. Shares of Preferred Stock converted into Common Stock or redeemed in accordance with the terms hereof shall be canceled and shall not be reissued.</w:t>
      </w:r>
    </w:p>
    <w:p>
      <w:pPr>
        <w:spacing w:after="0" w:line="48" w:lineRule="exact"/>
        <w:rPr>
          <w:rFonts w:ascii="Arial" w:cs="Arial" w:eastAsia="Arial" w:hAnsi="Arial"/>
          <w:sz w:val="11"/>
          <w:szCs w:val="11"/>
          <w:color w:val="auto"/>
        </w:rPr>
      </w:pPr>
    </w:p>
    <w:p>
      <w:pPr>
        <w:ind w:left="560" w:hanging="136"/>
        <w:spacing w:after="0"/>
        <w:tabs>
          <w:tab w:leader="none" w:pos="560" w:val="left"/>
        </w:tabs>
        <w:numPr>
          <w:ilvl w:val="0"/>
          <w:numId w:val="3"/>
        </w:numPr>
        <w:rPr>
          <w:rFonts w:ascii="Arial" w:cs="Arial" w:eastAsia="Arial" w:hAnsi="Arial"/>
          <w:sz w:val="12"/>
          <w:szCs w:val="12"/>
          <w:color w:val="auto"/>
        </w:rPr>
      </w:pPr>
      <w:r>
        <w:rPr>
          <w:rFonts w:ascii="Arial" w:cs="Arial" w:eastAsia="Arial" w:hAnsi="Arial"/>
          <w:sz w:val="12"/>
          <w:szCs w:val="12"/>
          <w:u w:val="single" w:color="auto"/>
          <w:color w:val="auto"/>
        </w:rPr>
        <w:t>Mechanics of Conversion</w:t>
      </w:r>
    </w:p>
    <w:p>
      <w:pPr>
        <w:spacing w:after="0" w:line="78" w:lineRule="exact"/>
        <w:rPr>
          <w:rFonts w:ascii="Arial" w:cs="Arial" w:eastAsia="Arial" w:hAnsi="Arial"/>
          <w:sz w:val="12"/>
          <w:szCs w:val="12"/>
          <w:color w:val="auto"/>
        </w:rPr>
      </w:pPr>
    </w:p>
    <w:p>
      <w:pPr>
        <w:ind w:firstLine="856"/>
        <w:spacing w:after="0" w:line="254" w:lineRule="auto"/>
        <w:tabs>
          <w:tab w:leader="none" w:pos="957" w:val="left"/>
        </w:tabs>
        <w:numPr>
          <w:ilvl w:val="1"/>
          <w:numId w:val="3"/>
        </w:numPr>
        <w:rPr>
          <w:rFonts w:ascii="Arial" w:cs="Arial" w:eastAsia="Arial" w:hAnsi="Arial"/>
          <w:sz w:val="12"/>
          <w:szCs w:val="12"/>
          <w:color w:val="auto"/>
        </w:rPr>
      </w:pPr>
      <w:r>
        <w:rPr>
          <w:rFonts w:ascii="Arial" w:cs="Arial" w:eastAsia="Arial" w:hAnsi="Arial"/>
          <w:sz w:val="12"/>
          <w:szCs w:val="12"/>
          <w:u w:val="single" w:color="auto"/>
          <w:color w:val="auto"/>
        </w:rPr>
        <w:t>Delivery of Conversion Shares Upon Conversion</w:t>
      </w:r>
      <w:r>
        <w:rPr>
          <w:rFonts w:ascii="Arial" w:cs="Arial" w:eastAsia="Arial" w:hAnsi="Arial"/>
          <w:sz w:val="12"/>
          <w:szCs w:val="12"/>
          <w:color w:val="auto"/>
        </w:rPr>
        <w:t>. Not later than the earlier of (i) two (2) Trading Days and (ii) the number of Trading Days comprising the Standard Settlement Period (as defined below) after each Conversion Date (the “</w:t>
      </w:r>
      <w:r>
        <w:rPr>
          <w:rFonts w:ascii="Arial" w:cs="Arial" w:eastAsia="Arial" w:hAnsi="Arial"/>
          <w:sz w:val="12"/>
          <w:szCs w:val="12"/>
          <w:u w:val="single" w:color="auto"/>
          <w:color w:val="auto"/>
        </w:rPr>
        <w:t>Share Delivery Date</w:t>
      </w:r>
      <w:r>
        <w:rPr>
          <w:rFonts w:ascii="Arial" w:cs="Arial" w:eastAsia="Arial" w:hAnsi="Arial"/>
          <w:sz w:val="12"/>
          <w:szCs w:val="12"/>
          <w:color w:val="auto"/>
        </w:rPr>
        <w:t>”), the Corporation shall deliver, or cause to be delivered, to the converting Holder (A) Conversion Shares which, on or after the earlier of (i) the six month anniversary of the Original Issue Date or (ii) the Effective Date, shall be free of restrictive legends and trading restrictions (other than those which may then be required by the Purchase Agreement) representing the number of Conversion Shares being acquired upon the conversion of the Preferred Stock, and (B) a bank check in the amount of declared but unpaid dividends, if any. On or after the earlier of (i) the six month anniversary of the Original Issue Date or (ii) the Effective Date, the Corporation shall deliver the Conversion Shares required to be delivered by the Corporation under this Section 6 electronically through the Depository Trust Company or another established clearing corporation performing similar functions. As used herein, “</w:t>
      </w:r>
      <w:r>
        <w:rPr>
          <w:rFonts w:ascii="Arial" w:cs="Arial" w:eastAsia="Arial" w:hAnsi="Arial"/>
          <w:sz w:val="12"/>
          <w:szCs w:val="12"/>
          <w:u w:val="single" w:color="auto"/>
          <w:color w:val="auto"/>
        </w:rPr>
        <w:t>Standard Settlement Period</w:t>
      </w:r>
      <w:r>
        <w:rPr>
          <w:rFonts w:ascii="Arial" w:cs="Arial" w:eastAsia="Arial" w:hAnsi="Arial"/>
          <w:sz w:val="12"/>
          <w:szCs w:val="12"/>
          <w:color w:val="auto"/>
        </w:rPr>
        <w:t>” means the standard settlement period, expressed in a number of Trading Days, on the Corporation’s primary Trading Market with respect to the Common Stock as in effect on the Conversion Date.</w:t>
      </w:r>
    </w:p>
    <w:p>
      <w:pPr>
        <w:spacing w:after="0" w:line="57" w:lineRule="exact"/>
        <w:rPr>
          <w:rFonts w:ascii="Arial" w:cs="Arial" w:eastAsia="Arial" w:hAnsi="Arial"/>
          <w:sz w:val="12"/>
          <w:szCs w:val="12"/>
          <w:color w:val="auto"/>
        </w:rPr>
      </w:pPr>
    </w:p>
    <w:p>
      <w:pPr>
        <w:ind w:right="20" w:firstLine="856"/>
        <w:spacing w:after="0" w:line="316" w:lineRule="auto"/>
        <w:tabs>
          <w:tab w:leader="none" w:pos="991" w:val="left"/>
        </w:tabs>
        <w:numPr>
          <w:ilvl w:val="1"/>
          <w:numId w:val="3"/>
        </w:numPr>
        <w:rPr>
          <w:rFonts w:ascii="Arial" w:cs="Arial" w:eastAsia="Arial" w:hAnsi="Arial"/>
          <w:sz w:val="10"/>
          <w:szCs w:val="10"/>
          <w:color w:val="auto"/>
        </w:rPr>
      </w:pPr>
      <w:r>
        <w:rPr>
          <w:rFonts w:ascii="Arial" w:cs="Arial" w:eastAsia="Arial" w:hAnsi="Arial"/>
          <w:sz w:val="10"/>
          <w:szCs w:val="10"/>
          <w:u w:val="single" w:color="auto"/>
          <w:color w:val="auto"/>
        </w:rPr>
        <w:t>Obligation Absolute; Partial Liquidated Damages</w:t>
      </w:r>
      <w:r>
        <w:rPr>
          <w:rFonts w:ascii="Arial" w:cs="Arial" w:eastAsia="Arial" w:hAnsi="Arial"/>
          <w:sz w:val="10"/>
          <w:szCs w:val="10"/>
          <w:color w:val="auto"/>
        </w:rPr>
        <w:t xml:space="preserve">. The Corporation’s obligation to issue and deliver the Conversion Shares upon conversion of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such delivery shall not operate as a waiver by the Corporation of any such action that the Corporation may have against such Holder.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80"/>
          </w:cols>
          <w:pgMar w:left="300" w:top="1139" w:right="31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color w:val="auto"/>
        </w:rPr>
        <w:t>and/or injunctive relief. The exercise of any such rights shall not prohibit a Holder from seeking to enforce damages pursuant to any other Section hereof or under applicable law.</w:t>
      </w:r>
    </w:p>
    <w:p>
      <w:pPr>
        <w:spacing w:after="0" w:line="78" w:lineRule="exact"/>
        <w:rPr>
          <w:sz w:val="20"/>
          <w:szCs w:val="20"/>
          <w:color w:val="auto"/>
        </w:rPr>
      </w:pPr>
    </w:p>
    <w:p>
      <w:pPr>
        <w:ind w:left="8" w:firstLine="856"/>
        <w:spacing w:after="0" w:line="254" w:lineRule="auto"/>
        <w:tabs>
          <w:tab w:leader="none" w:pos="1032"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Reservation of Shares Issuable Upon Conversion</w:t>
      </w:r>
      <w:r>
        <w:rPr>
          <w:rFonts w:ascii="Arial" w:cs="Arial" w:eastAsia="Arial" w:hAnsi="Arial"/>
          <w:sz w:val="12"/>
          <w:szCs w:val="12"/>
          <w:color w:val="auto"/>
        </w:rPr>
        <w:t>. The Corporation covenants that it will make reasonable efforts, including, without limitation, engaging in best efforts to obtain the requisite stockholder approval of any necessary amendment to the Certificate of Incorporation, to reserve and keep available out of its authorized and unissued shares of Common Stock for the sole purpose of issuance upon conversion of the Preferred Stock as herein provided, free from preemptive rights or any other actual contingent purchase rights of Persons other than the Holder (and the other holders of the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Preferred Stock. The Corporation covenants that all shares of Common Stock that shall be so issuable shall, upon issue, be duly authorized, validly issued, fully paid and nonassessable and, if the Conversion Shares Registration Statement is then effective under the Securities Act, shall be registered for public resale in accordance with such Conversion Shares Registration Statement (subject to such Holder’s compliance with its obligations under the Purchase Agreement and applicable securities laws).</w:t>
      </w:r>
    </w:p>
    <w:p>
      <w:pPr>
        <w:spacing w:after="0" w:line="57" w:lineRule="exact"/>
        <w:rPr>
          <w:rFonts w:ascii="Arial" w:cs="Arial" w:eastAsia="Arial" w:hAnsi="Arial"/>
          <w:sz w:val="12"/>
          <w:szCs w:val="12"/>
          <w:color w:val="auto"/>
        </w:rPr>
      </w:pPr>
    </w:p>
    <w:p>
      <w:pPr>
        <w:ind w:left="8" w:right="20" w:firstLine="856"/>
        <w:spacing w:after="0" w:line="263" w:lineRule="auto"/>
        <w:tabs>
          <w:tab w:leader="none" w:pos="1017"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Fractional Shares</w:t>
      </w:r>
      <w:r>
        <w:rPr>
          <w:rFonts w:ascii="Arial" w:cs="Arial" w:eastAsia="Arial" w:hAnsi="Arial"/>
          <w:sz w:val="12"/>
          <w:szCs w:val="12"/>
          <w:color w:val="auto"/>
        </w:rPr>
        <w:t>. No fractional shares or scrip representing fractional shares shall be issued upon the conversion of the Preferred Stock. As to any fraction of a share which the Holder would otherwise be entitled to purchase upon such conversion, the Corporation shall at its election, either (a) pay cash equal to such fraction multiplied by the closing price of the Common Stock on the Trading Market on the Trading Day immediately preceding the Share Delivery Date or (b) round up to the next whole share</w:t>
      </w:r>
    </w:p>
    <w:p>
      <w:pPr>
        <w:spacing w:after="0" w:line="50" w:lineRule="exact"/>
        <w:rPr>
          <w:rFonts w:ascii="Arial" w:cs="Arial" w:eastAsia="Arial" w:hAnsi="Arial"/>
          <w:sz w:val="12"/>
          <w:szCs w:val="12"/>
          <w:color w:val="auto"/>
        </w:rPr>
      </w:pPr>
    </w:p>
    <w:p>
      <w:pPr>
        <w:ind w:left="8" w:right="20" w:firstLine="856"/>
        <w:spacing w:after="0" w:line="320" w:lineRule="auto"/>
        <w:tabs>
          <w:tab w:leader="none" w:pos="984" w:val="left"/>
        </w:tabs>
        <w:numPr>
          <w:ilvl w:val="0"/>
          <w:numId w:val="4"/>
        </w:numPr>
        <w:rPr>
          <w:rFonts w:ascii="Arial" w:cs="Arial" w:eastAsia="Arial" w:hAnsi="Arial"/>
          <w:sz w:val="10"/>
          <w:szCs w:val="10"/>
          <w:color w:val="auto"/>
        </w:rPr>
      </w:pPr>
      <w:r>
        <w:rPr>
          <w:rFonts w:ascii="Arial" w:cs="Arial" w:eastAsia="Arial" w:hAnsi="Arial"/>
          <w:sz w:val="10"/>
          <w:szCs w:val="10"/>
          <w:u w:val="single" w:color="auto"/>
          <w:color w:val="auto"/>
        </w:rPr>
        <w:t>Transfer Taxes and Expenses</w:t>
      </w:r>
      <w:r>
        <w:rPr>
          <w:rFonts w:ascii="Arial" w:cs="Arial" w:eastAsia="Arial" w:hAnsi="Arial"/>
          <w:sz w:val="10"/>
          <w:szCs w:val="10"/>
          <w:color w:val="auto"/>
        </w:rPr>
        <w:t>. The issuance of Conversion Shares on conversion of this Preferred Stock shall be made without charge to any Holder for any documentary stamp or similar taxes that may be payable in respect of the issue or delivery of such Conversion Shares, provided that the Corporation shall not be required to pay any tax that may be payable in respect of any transfer involved in the issuance and delivery of any such Conversion Shares upon conversion in a name other than that of the Holders of such shares of Preferred Stock and the Corporation shall not be required to issue or deliver such Conversion Shares unless or until the Person or Persons requesting the issuance thereof shall have paid to the Corporation the amount of such tax or shall have established to the satisfaction of the Corporation that such tax has been paid. The Corporation shall pay all Transfer Agent fees required for same-day processing of any Notice of Conversion and all fees to the Depository Trust Company (or another established clearing corporation performing similar functions) required doe same-day electronic delivery of the Conversion Shares.</w:t>
      </w:r>
    </w:p>
    <w:p>
      <w:pPr>
        <w:spacing w:after="0" w:line="97" w:lineRule="exact"/>
        <w:rPr>
          <w:sz w:val="20"/>
          <w:szCs w:val="20"/>
          <w:color w:val="auto"/>
        </w:rPr>
      </w:pPr>
    </w:p>
    <w:p>
      <w:pPr>
        <w:ind w:left="208"/>
        <w:spacing w:after="0"/>
        <w:rPr>
          <w:sz w:val="20"/>
          <w:szCs w:val="20"/>
          <w:color w:val="auto"/>
        </w:rPr>
      </w:pPr>
      <w:r>
        <w:rPr>
          <w:rFonts w:ascii="Arial" w:cs="Arial" w:eastAsia="Arial" w:hAnsi="Arial"/>
          <w:sz w:val="12"/>
          <w:szCs w:val="12"/>
          <w:u w:val="single" w:color="auto"/>
          <w:color w:val="auto"/>
        </w:rPr>
        <w:t>Section 7</w:t>
      </w:r>
      <w:r>
        <w:rPr>
          <w:rFonts w:ascii="Arial" w:cs="Arial" w:eastAsia="Arial" w:hAnsi="Arial"/>
          <w:sz w:val="12"/>
          <w:szCs w:val="12"/>
          <w:color w:val="auto"/>
        </w:rPr>
        <w:t xml:space="preserve">. </w:t>
      </w:r>
      <w:r>
        <w:rPr>
          <w:rFonts w:ascii="Arial" w:cs="Arial" w:eastAsia="Arial" w:hAnsi="Arial"/>
          <w:sz w:val="12"/>
          <w:szCs w:val="12"/>
          <w:u w:val="single" w:color="auto"/>
          <w:color w:val="auto"/>
        </w:rPr>
        <w:t>Certain Adjustments</w:t>
      </w:r>
      <w:r>
        <w:rPr>
          <w:rFonts w:ascii="Arial" w:cs="Arial" w:eastAsia="Arial" w:hAnsi="Arial"/>
          <w:sz w:val="12"/>
          <w:szCs w:val="12"/>
          <w:color w:val="auto"/>
        </w:rPr>
        <w:t>.</w:t>
      </w:r>
    </w:p>
    <w:p>
      <w:pPr>
        <w:spacing w:after="0" w:line="78" w:lineRule="exact"/>
        <w:rPr>
          <w:sz w:val="20"/>
          <w:szCs w:val="20"/>
          <w:color w:val="auto"/>
        </w:rPr>
      </w:pPr>
    </w:p>
    <w:p>
      <w:pPr>
        <w:ind w:left="8" w:right="100" w:firstLine="424"/>
        <w:spacing w:after="0" w:line="306" w:lineRule="auto"/>
        <w:tabs>
          <w:tab w:leader="none" w:pos="563" w:val="left"/>
        </w:tabs>
        <w:numPr>
          <w:ilvl w:val="1"/>
          <w:numId w:val="5"/>
        </w:numPr>
        <w:rPr>
          <w:rFonts w:ascii="Arial" w:cs="Arial" w:eastAsia="Arial" w:hAnsi="Arial"/>
          <w:sz w:val="10"/>
          <w:szCs w:val="10"/>
          <w:color w:val="auto"/>
        </w:rPr>
      </w:pPr>
      <w:r>
        <w:rPr>
          <w:rFonts w:ascii="Arial" w:cs="Arial" w:eastAsia="Arial" w:hAnsi="Arial"/>
          <w:sz w:val="10"/>
          <w:szCs w:val="10"/>
          <w:u w:val="single" w:color="auto"/>
          <w:color w:val="auto"/>
        </w:rPr>
        <w:t>Stock Dividends and Stock Splits</w:t>
      </w:r>
      <w:r>
        <w:rPr>
          <w:rFonts w:ascii="Arial" w:cs="Arial" w:eastAsia="Arial" w:hAnsi="Arial"/>
          <w:sz w:val="10"/>
          <w:szCs w:val="10"/>
          <w:color w:val="auto"/>
        </w:rPr>
        <w:t>. If the Corporation, at any time while this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Preferred Stock), (ii) subdivides outstanding shares of Common Stock into a larger number of shares, (iii) combines (including by way of a reverse stock split) outstanding shares of Common Stock into a smaller number of shares, or</w:t>
      </w:r>
    </w:p>
    <w:p>
      <w:pPr>
        <w:spacing w:after="0" w:line="1" w:lineRule="exact"/>
        <w:rPr>
          <w:rFonts w:ascii="Arial" w:cs="Arial" w:eastAsia="Arial" w:hAnsi="Arial"/>
          <w:sz w:val="10"/>
          <w:szCs w:val="10"/>
          <w:color w:val="auto"/>
        </w:rPr>
      </w:pPr>
    </w:p>
    <w:p>
      <w:pPr>
        <w:ind w:left="8" w:right="160" w:hanging="8"/>
        <w:spacing w:after="0" w:line="253" w:lineRule="auto"/>
        <w:tabs>
          <w:tab w:leader="none" w:pos="211" w:val="left"/>
        </w:tabs>
        <w:numPr>
          <w:ilvl w:val="0"/>
          <w:numId w:val="6"/>
        </w:numPr>
        <w:rPr>
          <w:rFonts w:ascii="Arial" w:cs="Arial" w:eastAsia="Arial" w:hAnsi="Arial"/>
          <w:sz w:val="12"/>
          <w:szCs w:val="12"/>
          <w:color w:val="auto"/>
        </w:rPr>
      </w:pPr>
      <w:r>
        <w:rPr>
          <w:rFonts w:ascii="Arial" w:cs="Arial" w:eastAsia="Arial" w:hAnsi="Arial"/>
          <w:sz w:val="12"/>
          <w:szCs w:val="12"/>
          <w:color w:val="auto"/>
        </w:rPr>
        <w:t>issues, in the event of a reclassification of shares of the Common Stock, any shares of capital stock of the Corporation, then the Conversion Ratio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57" w:lineRule="exact"/>
        <w:rPr>
          <w:rFonts w:ascii="Arial" w:cs="Arial" w:eastAsia="Arial" w:hAnsi="Arial"/>
          <w:sz w:val="12"/>
          <w:szCs w:val="12"/>
          <w:color w:val="auto"/>
        </w:rPr>
      </w:pPr>
    </w:p>
    <w:p>
      <w:pPr>
        <w:ind w:left="8" w:right="460" w:firstLine="424"/>
        <w:spacing w:after="0" w:line="379" w:lineRule="auto"/>
        <w:tabs>
          <w:tab w:leader="none" w:pos="570" w:val="left"/>
        </w:tabs>
        <w:numPr>
          <w:ilvl w:val="1"/>
          <w:numId w:val="6"/>
        </w:numPr>
        <w:rPr>
          <w:rFonts w:ascii="Arial" w:cs="Arial" w:eastAsia="Arial" w:hAnsi="Arial"/>
          <w:sz w:val="10"/>
          <w:szCs w:val="10"/>
          <w:color w:val="auto"/>
        </w:rPr>
      </w:pPr>
      <w:r>
        <w:rPr>
          <w:rFonts w:ascii="Arial" w:cs="Arial" w:eastAsia="Arial" w:hAnsi="Arial"/>
          <w:sz w:val="10"/>
          <w:szCs w:val="10"/>
          <w:u w:val="single" w:color="auto"/>
          <w:color w:val="auto"/>
        </w:rPr>
        <w:t>Subsequent Rights Offerings</w:t>
      </w:r>
      <w:r>
        <w:rPr>
          <w:rFonts w:ascii="Arial" w:cs="Arial" w:eastAsia="Arial" w:hAnsi="Arial"/>
          <w:sz w:val="10"/>
          <w:szCs w:val="10"/>
          <w:color w:val="auto"/>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Arial" w:cs="Arial" w:eastAsia="Arial" w:hAnsi="Arial"/>
          <w:sz w:val="10"/>
          <w:szCs w:val="10"/>
          <w:u w:val="single" w:color="auto"/>
          <w:color w:val="auto"/>
        </w:rPr>
        <w:t>Purchase Rights</w:t>
      </w:r>
      <w:r>
        <w:rPr>
          <w:rFonts w:ascii="Arial" w:cs="Arial" w:eastAsia="Arial" w:hAnsi="Arial"/>
          <w:sz w:val="10"/>
          <w:szCs w:val="10"/>
          <w:color w:val="auto"/>
        </w:rPr>
        <w:t>”), then the Holder of will be entitled to acquire, upon the terms applicable to such Purchase Rights,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8"/>
          </w:cols>
          <w:pgMar w:left="292" w:top="1067" w:right="29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12"/>
          <w:szCs w:val="12"/>
          <w:color w:val="auto"/>
        </w:rPr>
        <w:t>aggregate Purchase Rights which the Holder could have acquired if the Holder had held the number of shares of Common Stock acquirable upon complete conversion of such Holder’s Preferred Stock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50" w:lineRule="exact"/>
        <w:rPr>
          <w:sz w:val="20"/>
          <w:szCs w:val="20"/>
          <w:color w:val="auto"/>
        </w:rPr>
      </w:pPr>
    </w:p>
    <w:p>
      <w:pPr>
        <w:ind w:right="80" w:firstLine="424"/>
        <w:spacing w:after="0" w:line="255" w:lineRule="auto"/>
        <w:tabs>
          <w:tab w:leader="none" w:pos="555" w:val="left"/>
        </w:tabs>
        <w:numPr>
          <w:ilvl w:val="0"/>
          <w:numId w:val="7"/>
        </w:numPr>
        <w:rPr>
          <w:rFonts w:ascii="Arial" w:cs="Arial" w:eastAsia="Arial" w:hAnsi="Arial"/>
          <w:sz w:val="12"/>
          <w:szCs w:val="12"/>
          <w:color w:val="auto"/>
        </w:rPr>
      </w:pPr>
      <w:r>
        <w:rPr>
          <w:rFonts w:ascii="Arial" w:cs="Arial" w:eastAsia="Arial" w:hAnsi="Arial"/>
          <w:sz w:val="12"/>
          <w:szCs w:val="12"/>
          <w:u w:val="single" w:color="auto"/>
          <w:color w:val="auto"/>
        </w:rPr>
        <w:t>Pro Rata Distributions</w:t>
      </w:r>
      <w:r>
        <w:rPr>
          <w:rFonts w:ascii="Arial" w:cs="Arial" w:eastAsia="Arial" w:hAnsi="Arial"/>
          <w:sz w:val="12"/>
          <w:szCs w:val="12"/>
          <w:color w:val="auto"/>
        </w:rPr>
        <w:t>. During such time as this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2"/>
          <w:szCs w:val="12"/>
          <w:u w:val="single" w:color="auto"/>
          <w:color w:val="auto"/>
        </w:rPr>
        <w:t>Distribution</w:t>
      </w:r>
      <w:r>
        <w:rPr>
          <w:rFonts w:ascii="Arial" w:cs="Arial" w:eastAsia="Arial" w:hAnsi="Arial"/>
          <w:sz w:val="12"/>
          <w:szCs w:val="12"/>
          <w:color w:val="auto"/>
        </w:rPr>
        <w:t>”), at any time after the issuance of this Preferred Stock, then, in each such case, the Holder shall be entitled to participate in such Distribution to the same extent that the Holder would have participated therein if the Holder had held the number of shares of Common Stock acquirable upon complete Conversion of this Preferred Stock (without regard to any limitations on Conversion hereof) immediately before the date of which a record is taken for such Distribution, or, if no such record is taken, the date as of which the record holders of shares of Common Stock are to be determined for the participation in such Distribution.</w:t>
      </w:r>
    </w:p>
    <w:p>
      <w:pPr>
        <w:spacing w:after="0" w:line="56" w:lineRule="exact"/>
        <w:rPr>
          <w:rFonts w:ascii="Arial" w:cs="Arial" w:eastAsia="Arial" w:hAnsi="Arial"/>
          <w:sz w:val="12"/>
          <w:szCs w:val="12"/>
          <w:color w:val="auto"/>
        </w:rPr>
      </w:pPr>
    </w:p>
    <w:p>
      <w:pPr>
        <w:ind w:firstLine="424"/>
        <w:spacing w:after="0" w:line="276" w:lineRule="auto"/>
        <w:tabs>
          <w:tab w:leader="none" w:pos="562" w:val="left"/>
        </w:tabs>
        <w:numPr>
          <w:ilvl w:val="0"/>
          <w:numId w:val="7"/>
        </w:numPr>
        <w:rPr>
          <w:rFonts w:ascii="Arial" w:cs="Arial" w:eastAsia="Arial" w:hAnsi="Arial"/>
          <w:sz w:val="11"/>
          <w:szCs w:val="11"/>
          <w:color w:val="auto"/>
        </w:rPr>
      </w:pPr>
      <w:r>
        <w:rPr>
          <w:rFonts w:ascii="Arial" w:cs="Arial" w:eastAsia="Arial" w:hAnsi="Arial"/>
          <w:sz w:val="11"/>
          <w:szCs w:val="11"/>
          <w:u w:val="single" w:color="auto"/>
          <w:color w:val="auto"/>
        </w:rPr>
        <w:t>Fundamental Transaction</w:t>
      </w:r>
      <w:r>
        <w:rPr>
          <w:rFonts w:ascii="Arial" w:cs="Arial" w:eastAsia="Arial" w:hAnsi="Arial"/>
          <w:sz w:val="11"/>
          <w:szCs w:val="11"/>
          <w:color w:val="auto"/>
        </w:rPr>
        <w:t>. If, at any time while this Preferred Stock is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1"/>
          <w:szCs w:val="11"/>
          <w:u w:val="single" w:color="auto"/>
          <w:color w:val="auto"/>
        </w:rPr>
        <w:t>Fundamental Transaction</w:t>
      </w:r>
      <w:r>
        <w:rPr>
          <w:rFonts w:ascii="Arial" w:cs="Arial" w:eastAsia="Arial" w:hAnsi="Arial"/>
          <w:sz w:val="11"/>
          <w:szCs w:val="11"/>
          <w:color w:val="auto"/>
        </w:rPr>
        <w:t>”), then, upon any subsequent conversion of this Preferred Stock, the Holder shall have the right to receive, for each Conversion Share that would have been issuable upon such conversion immediately prior to the occurrence of such Fundamental Transaction, the number of shares of Common Stock of the successor or acquiring corporation or of the Corporation, if it is the surviving corporation, and any additional consideration (the “</w:t>
      </w:r>
      <w:r>
        <w:rPr>
          <w:rFonts w:ascii="Arial" w:cs="Arial" w:eastAsia="Arial" w:hAnsi="Arial"/>
          <w:sz w:val="11"/>
          <w:szCs w:val="11"/>
          <w:u w:val="single" w:color="auto"/>
          <w:color w:val="auto"/>
        </w:rPr>
        <w:t>Alternate Consideration</w:t>
      </w:r>
      <w:r>
        <w:rPr>
          <w:rFonts w:ascii="Arial" w:cs="Arial" w:eastAsia="Arial" w:hAnsi="Arial"/>
          <w:sz w:val="11"/>
          <w:szCs w:val="11"/>
          <w:color w:val="auto"/>
        </w:rPr>
        <w:t>”) receivable as a result of such Fundamental Transaction by a holder of the number of shares of Common Stock for which this Preferred Stock is convertible immediately prior to such Fundamental Transaction. For purposes of any such conversion, the determination of the Conversion Ratio shall be appropriately adjusted to apply to such Alternate Consideration based on the amount of Alternate Consideration issuable in respect of one share of Common Stock in such Fundamental Transaction, and the Corporation shall apportion the Conversion Ratio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they receive upon any conversion of this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Arial" w:cs="Arial" w:eastAsia="Arial" w:hAnsi="Arial"/>
          <w:sz w:val="11"/>
          <w:szCs w:val="11"/>
          <w:u w:val="single" w:color="auto"/>
          <w:color w:val="auto"/>
        </w:rPr>
        <w:t>Successor Entity</w:t>
      </w:r>
      <w:r>
        <w:rPr>
          <w:rFonts w:ascii="Arial" w:cs="Arial" w:eastAsia="Arial" w:hAnsi="Arial"/>
          <w:sz w:val="11"/>
          <w:szCs w:val="11"/>
          <w:color w:val="auto"/>
        </w:rPr>
        <w:t>”) to assume in writing all of the obligations of the Corporation under this Certificate of Designation and the other Transaction Documents (as defined in the Purchase Agreement) in accordance with the provisions of this Section 7(d) pursuant to written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1067" w:right="319" w:bottom="1440" w:gutter="0" w:footer="0" w:header="0"/>
        </w:sectPr>
      </w:pPr>
    </w:p>
    <w:bookmarkStart w:id="11" w:name="page12"/>
    <w:bookmarkEnd w:id="11"/>
    <w:p>
      <w:pPr>
        <w:spacing w:after="0" w:line="279" w:lineRule="auto"/>
        <w:rPr>
          <w:sz w:val="20"/>
          <w:szCs w:val="20"/>
          <w:color w:val="auto"/>
        </w:rPr>
      </w:pPr>
      <w:r>
        <w:rPr>
          <w:rFonts w:ascii="Arial" w:cs="Arial" w:eastAsia="Arial" w:hAnsi="Arial"/>
          <w:sz w:val="11"/>
          <w:szCs w:val="11"/>
          <w:color w:val="auto"/>
        </w:rPr>
        <w:t>agreements in form and substance reasonably satisfactory to the Holder and approved by the Holder (without unreasonable delay) prior to such Fundamental Transaction and shall, at the option of the holder of this Preferred Stock, deliver to the Holder in exchange for this Preferred Stock a security of the Successor Entity evidenced by a written instrument substantially similar in form and substance to this Preferred Stock which is convertible for a corresponding number of shares of capital stock of such Successor Entity (or its parent entity) equivalent to the shares of Common Stock acquirable and receivable upon conversion of this Preferred Stock (without regard to any limitations on the conversion of this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spacing w:after="0" w:line="45" w:lineRule="exact"/>
        <w:rPr>
          <w:sz w:val="20"/>
          <w:szCs w:val="20"/>
          <w:color w:val="auto"/>
        </w:rPr>
      </w:pPr>
    </w:p>
    <w:p>
      <w:pPr>
        <w:ind w:right="100" w:firstLine="424"/>
        <w:spacing w:after="0" w:line="276" w:lineRule="auto"/>
        <w:tabs>
          <w:tab w:leader="none" w:pos="542" w:val="left"/>
        </w:tabs>
        <w:numPr>
          <w:ilvl w:val="0"/>
          <w:numId w:val="8"/>
        </w:numPr>
        <w:rPr>
          <w:rFonts w:ascii="Arial" w:cs="Arial" w:eastAsia="Arial" w:hAnsi="Arial"/>
          <w:sz w:val="12"/>
          <w:szCs w:val="12"/>
          <w:color w:val="auto"/>
        </w:rPr>
      </w:pPr>
      <w:r>
        <w:rPr>
          <w:rFonts w:ascii="Arial" w:cs="Arial" w:eastAsia="Arial" w:hAnsi="Arial"/>
          <w:sz w:val="12"/>
          <w:szCs w:val="12"/>
          <w:u w:val="single" w:color="auto"/>
          <w:color w:val="auto"/>
        </w:rPr>
        <w:t>Calculations</w:t>
      </w:r>
      <w:r>
        <w:rPr>
          <w:rFonts w:ascii="Arial" w:cs="Arial" w:eastAsia="Arial" w:hAnsi="Arial"/>
          <w:sz w:val="12"/>
          <w:szCs w:val="12"/>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42" w:lineRule="exact"/>
        <w:rPr>
          <w:rFonts w:ascii="Arial" w:cs="Arial" w:eastAsia="Arial" w:hAnsi="Arial"/>
          <w:sz w:val="12"/>
          <w:szCs w:val="12"/>
          <w:color w:val="auto"/>
        </w:rPr>
      </w:pPr>
    </w:p>
    <w:p>
      <w:pPr>
        <w:ind w:left="560" w:hanging="136"/>
        <w:spacing w:after="0"/>
        <w:tabs>
          <w:tab w:leader="none" w:pos="560" w:val="left"/>
        </w:tabs>
        <w:numPr>
          <w:ilvl w:val="0"/>
          <w:numId w:val="8"/>
        </w:numPr>
        <w:rPr>
          <w:rFonts w:ascii="Arial" w:cs="Arial" w:eastAsia="Arial" w:hAnsi="Arial"/>
          <w:sz w:val="12"/>
          <w:szCs w:val="12"/>
          <w:color w:val="auto"/>
        </w:rPr>
      </w:pPr>
      <w:r>
        <w:rPr>
          <w:rFonts w:ascii="Arial" w:cs="Arial" w:eastAsia="Arial" w:hAnsi="Arial"/>
          <w:sz w:val="12"/>
          <w:szCs w:val="12"/>
          <w:u w:val="single" w:color="auto"/>
          <w:color w:val="auto"/>
        </w:rPr>
        <w:t>Notice to the Holders</w:t>
      </w:r>
      <w:r>
        <w:rPr>
          <w:rFonts w:ascii="Arial" w:cs="Arial" w:eastAsia="Arial" w:hAnsi="Arial"/>
          <w:sz w:val="12"/>
          <w:szCs w:val="12"/>
          <w:color w:val="auto"/>
        </w:rPr>
        <w:t>.</w:t>
      </w:r>
    </w:p>
    <w:p>
      <w:pPr>
        <w:spacing w:after="0" w:line="78" w:lineRule="exact"/>
        <w:rPr>
          <w:rFonts w:ascii="Arial" w:cs="Arial" w:eastAsia="Arial" w:hAnsi="Arial"/>
          <w:sz w:val="12"/>
          <w:szCs w:val="12"/>
          <w:color w:val="auto"/>
        </w:rPr>
      </w:pPr>
    </w:p>
    <w:p>
      <w:pPr>
        <w:ind w:right="140" w:firstLine="856"/>
        <w:spacing w:after="0" w:line="276" w:lineRule="auto"/>
        <w:tabs>
          <w:tab w:leader="none" w:pos="957" w:val="left"/>
        </w:tabs>
        <w:numPr>
          <w:ilvl w:val="1"/>
          <w:numId w:val="8"/>
        </w:numPr>
        <w:rPr>
          <w:rFonts w:ascii="Arial" w:cs="Arial" w:eastAsia="Arial" w:hAnsi="Arial"/>
          <w:sz w:val="12"/>
          <w:szCs w:val="12"/>
          <w:color w:val="auto"/>
        </w:rPr>
      </w:pPr>
      <w:r>
        <w:rPr>
          <w:rFonts w:ascii="Arial" w:cs="Arial" w:eastAsia="Arial" w:hAnsi="Arial"/>
          <w:sz w:val="12"/>
          <w:szCs w:val="12"/>
          <w:u w:val="single" w:color="auto"/>
          <w:color w:val="auto"/>
        </w:rPr>
        <w:t>Adjustment to Conversion Ratio</w:t>
      </w:r>
      <w:r>
        <w:rPr>
          <w:rFonts w:ascii="Arial" w:cs="Arial" w:eastAsia="Arial" w:hAnsi="Arial"/>
          <w:sz w:val="12"/>
          <w:szCs w:val="12"/>
          <w:color w:val="auto"/>
        </w:rPr>
        <w:t>. Whenever the Conversion Ratio is adjusted pursuant to any provision of this Section 7, the Corporation shall promptly deliver to each Holder a notice setting forth the Conversion Ratio after such adjustment and setting forth a brief statement of the facts requiring such adjustment.</w:t>
      </w:r>
    </w:p>
    <w:p>
      <w:pPr>
        <w:spacing w:after="0" w:line="42" w:lineRule="exact"/>
        <w:rPr>
          <w:rFonts w:ascii="Arial" w:cs="Arial" w:eastAsia="Arial" w:hAnsi="Arial"/>
          <w:sz w:val="12"/>
          <w:szCs w:val="12"/>
          <w:color w:val="auto"/>
        </w:rPr>
      </w:pPr>
    </w:p>
    <w:p>
      <w:pPr>
        <w:ind w:firstLine="856"/>
        <w:spacing w:after="0" w:line="277" w:lineRule="auto"/>
        <w:tabs>
          <w:tab w:leader="none" w:pos="991" w:val="left"/>
        </w:tabs>
        <w:numPr>
          <w:ilvl w:val="1"/>
          <w:numId w:val="8"/>
        </w:numPr>
        <w:rPr>
          <w:rFonts w:ascii="Arial" w:cs="Arial" w:eastAsia="Arial" w:hAnsi="Arial"/>
          <w:sz w:val="11"/>
          <w:szCs w:val="11"/>
          <w:color w:val="auto"/>
        </w:rPr>
      </w:pPr>
      <w:r>
        <w:rPr>
          <w:rFonts w:ascii="Arial" w:cs="Arial" w:eastAsia="Arial" w:hAnsi="Arial"/>
          <w:sz w:val="11"/>
          <w:szCs w:val="11"/>
          <w:u w:val="single" w:color="auto"/>
          <w:color w:val="auto"/>
        </w:rPr>
        <w:t>Notice to Allow Conversion by Holder</w:t>
      </w:r>
      <w:r>
        <w:rPr>
          <w:rFonts w:ascii="Arial" w:cs="Arial" w:eastAsia="Arial" w:hAnsi="Arial"/>
          <w:sz w:val="11"/>
          <w:szCs w:val="11"/>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Preferred Stock, and shall cause to be delivered to each Holder at its last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Preferred Stock (or any part hereof) during the 20-day period commencing on the date of such notice through the effective date of the event triggering such notice except as may otherwise be expressly set forth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80"/>
          </w:cols>
          <w:pgMar w:left="300" w:top="1067" w:right="319" w:bottom="1440" w:gutter="0" w:footer="0" w:header="0"/>
        </w:sectPr>
      </w:pPr>
    </w:p>
    <w:bookmarkStart w:id="12" w:name="page13"/>
    <w:bookmarkEnd w:id="12"/>
    <w:p>
      <w:pPr>
        <w:ind w:left="180"/>
        <w:spacing w:after="0"/>
        <w:rPr>
          <w:sz w:val="20"/>
          <w:szCs w:val="20"/>
          <w:color w:val="auto"/>
        </w:rPr>
      </w:pP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w:t>
      </w: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78" w:lineRule="exact"/>
        <w:rPr>
          <w:sz w:val="20"/>
          <w:szCs w:val="20"/>
          <w:color w:val="auto"/>
        </w:rPr>
      </w:pPr>
    </w:p>
    <w:p>
      <w:pPr>
        <w:ind w:left="-20" w:right="40" w:firstLine="424"/>
        <w:spacing w:after="0" w:line="311" w:lineRule="auto"/>
        <w:tabs>
          <w:tab w:leader="none" w:pos="535" w:val="left"/>
        </w:tabs>
        <w:numPr>
          <w:ilvl w:val="0"/>
          <w:numId w:val="9"/>
        </w:numPr>
        <w:rPr>
          <w:rFonts w:ascii="Arial" w:cs="Arial" w:eastAsia="Arial" w:hAnsi="Arial"/>
          <w:sz w:val="10"/>
          <w:szCs w:val="10"/>
          <w:color w:val="auto"/>
        </w:rPr>
      </w:pPr>
      <w:r>
        <w:rPr>
          <w:rFonts w:ascii="Arial" w:cs="Arial" w:eastAsia="Arial" w:hAnsi="Arial"/>
          <w:sz w:val="10"/>
          <w:szCs w:val="10"/>
          <w:u w:val="single" w:color="auto"/>
          <w:color w:val="auto"/>
        </w:rPr>
        <w:t>Notices</w:t>
      </w:r>
      <w:r>
        <w:rPr>
          <w:rFonts w:ascii="Arial" w:cs="Arial" w:eastAsia="Arial" w:hAnsi="Arial"/>
          <w:sz w:val="10"/>
          <w:szCs w:val="10"/>
          <w:color w:val="auto"/>
        </w:rPr>
        <w:t>. Any and all notices or other communications or deliveries to be provided by the Holders hereunder including, without limitation, any Notice of Conversion, shall be in writing and delivered personally, by facsimile, or sent by a nationally recognized overnight courier service, addressed to the Corporation, at the address set forth above Attention: Chief Financial Officer, e-mail address sanjay@ocugen.com or such other e-mail address or address as the Corporation may specify for such purposes by notice to the Holders delivered in accordance with this Section 11. Any and all notices or other communications or deliveries to be provided by the Corporation hereunder shall be in writing and delivered personally, by email, or sent by a nationally recognized overnight courier service addressed to each Holder at the email address or address of such Holder appearing on the books of the Corporation, or if no such email address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 the email address set forth in this Section 8(a) prior to 5:30 p.m. (New York City time) on any date, (ii) the next Trading Day after the date of transmission, if such notice or communication is delivered via email at the email address set forth in this Section 8(a)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31" w:lineRule="exact"/>
        <w:rPr>
          <w:rFonts w:ascii="Arial" w:cs="Arial" w:eastAsia="Arial" w:hAnsi="Arial"/>
          <w:sz w:val="10"/>
          <w:szCs w:val="10"/>
          <w:color w:val="auto"/>
        </w:rPr>
      </w:pPr>
    </w:p>
    <w:p>
      <w:pPr>
        <w:ind w:left="-20" w:firstLine="424"/>
        <w:spacing w:after="0" w:line="276" w:lineRule="auto"/>
        <w:tabs>
          <w:tab w:leader="none" w:pos="542"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Absolute Obligation</w:t>
      </w:r>
      <w:r>
        <w:rPr>
          <w:rFonts w:ascii="Arial" w:cs="Arial" w:eastAsia="Arial" w:hAnsi="Arial"/>
          <w:sz w:val="12"/>
          <w:szCs w:val="12"/>
          <w:color w:val="auto"/>
        </w:rPr>
        <w:t>. Except as expressly provided herein, no provision of this Certificate of Designation shall alter or impair the obligation of the Corporation, which is absolute and unconditional, to pay liquidated damages and accrued dividends, as applicable, on the shares of Preferred Stock at the time, place, and rate, and in the coin or currency, herein prescribed.</w:t>
      </w:r>
    </w:p>
    <w:p>
      <w:pPr>
        <w:spacing w:after="0" w:line="42" w:lineRule="exact"/>
        <w:rPr>
          <w:rFonts w:ascii="Arial" w:cs="Arial" w:eastAsia="Arial" w:hAnsi="Arial"/>
          <w:sz w:val="12"/>
          <w:szCs w:val="12"/>
          <w:color w:val="auto"/>
        </w:rPr>
      </w:pPr>
    </w:p>
    <w:p>
      <w:pPr>
        <w:ind w:left="-20" w:right="40" w:firstLine="424"/>
        <w:spacing w:after="0" w:line="263" w:lineRule="auto"/>
        <w:tabs>
          <w:tab w:leader="none" w:pos="535"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Lost or Mutilated Preferred Stock Certificate</w:t>
      </w:r>
      <w:r>
        <w:rPr>
          <w:rFonts w:ascii="Arial" w:cs="Arial" w:eastAsia="Arial" w:hAnsi="Arial"/>
          <w:sz w:val="12"/>
          <w:szCs w:val="12"/>
          <w:color w:val="auto"/>
        </w:rPr>
        <w:t>. If a Holder’s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Preferred Stock so mutilated, lost, stolen or destroyed, but only upon receipt of evidence of such loss, theft or destruction of such certificate, and of the ownership hereof reasonably satisfactory to the Corporation.</w:t>
      </w:r>
    </w:p>
    <w:p>
      <w:pPr>
        <w:spacing w:after="0" w:line="50" w:lineRule="exact"/>
        <w:rPr>
          <w:rFonts w:ascii="Arial" w:cs="Arial" w:eastAsia="Arial" w:hAnsi="Arial"/>
          <w:sz w:val="12"/>
          <w:szCs w:val="12"/>
          <w:color w:val="auto"/>
        </w:rPr>
      </w:pPr>
    </w:p>
    <w:p>
      <w:pPr>
        <w:ind w:left="-20" w:right="40" w:firstLine="424"/>
        <w:spacing w:after="0" w:line="278" w:lineRule="auto"/>
        <w:tabs>
          <w:tab w:leader="none" w:pos="542" w:val="left"/>
        </w:tabs>
        <w:numPr>
          <w:ilvl w:val="0"/>
          <w:numId w:val="9"/>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Arial" w:cs="Arial" w:eastAsia="Arial" w:hAnsi="Arial"/>
          <w:sz w:val="11"/>
          <w:szCs w:val="11"/>
          <w:u w:val="single" w:color="auto"/>
          <w:color w:val="auto"/>
        </w:rPr>
        <w:t>New York Courts</w:t>
      </w:r>
      <w:r>
        <w:rPr>
          <w:rFonts w:ascii="Arial" w:cs="Arial" w:eastAsia="Arial" w:hAnsi="Arial"/>
          <w:sz w:val="11"/>
          <w:szCs w:val="11"/>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 contemplated hereby. If any party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60"/>
          </w:cols>
          <w:pgMar w:left="320" w:top="1139" w:right="319" w:bottom="1440" w:gutter="0" w:footer="0" w:header="0"/>
        </w:sectPr>
      </w:pPr>
    </w:p>
    <w:bookmarkStart w:id="13" w:name="page14"/>
    <w:bookmarkEnd w:id="13"/>
    <w:p>
      <w:pPr>
        <w:ind w:left="-20" w:right="60" w:firstLine="424"/>
        <w:spacing w:after="0" w:line="259" w:lineRule="auto"/>
        <w:tabs>
          <w:tab w:leader="none" w:pos="535"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Waiver</w:t>
      </w:r>
      <w:r>
        <w:rPr>
          <w:rFonts w:ascii="Arial" w:cs="Arial" w:eastAsia="Arial" w:hAnsi="Arial"/>
          <w:sz w:val="12"/>
          <w:szCs w:val="12"/>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52" w:lineRule="exact"/>
        <w:rPr>
          <w:rFonts w:ascii="Arial" w:cs="Arial" w:eastAsia="Arial" w:hAnsi="Arial"/>
          <w:sz w:val="12"/>
          <w:szCs w:val="12"/>
          <w:color w:val="auto"/>
        </w:rPr>
      </w:pPr>
    </w:p>
    <w:p>
      <w:pPr>
        <w:ind w:left="-20" w:firstLine="424"/>
        <w:spacing w:after="0" w:line="263" w:lineRule="auto"/>
        <w:tabs>
          <w:tab w:leader="none" w:pos="522"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50" w:lineRule="exact"/>
        <w:rPr>
          <w:rFonts w:ascii="Arial" w:cs="Arial" w:eastAsia="Arial" w:hAnsi="Arial"/>
          <w:sz w:val="12"/>
          <w:szCs w:val="12"/>
          <w:color w:val="auto"/>
        </w:rPr>
      </w:pPr>
    </w:p>
    <w:p>
      <w:pPr>
        <w:ind w:left="540" w:hanging="136"/>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Next Business Day</w:t>
      </w:r>
      <w:r>
        <w:rPr>
          <w:rFonts w:ascii="Arial" w:cs="Arial" w:eastAsia="Arial" w:hAnsi="Arial"/>
          <w:sz w:val="12"/>
          <w:szCs w:val="12"/>
          <w:color w:val="auto"/>
        </w:rPr>
        <w:t>. Whenever any payment or other obligation hereunder shall be due on a day other than a Business Day, such payment shall be made on the next succeeding Business Day.</w:t>
      </w:r>
    </w:p>
    <w:p>
      <w:pPr>
        <w:spacing w:after="0" w:line="78" w:lineRule="exact"/>
        <w:rPr>
          <w:rFonts w:ascii="Arial" w:cs="Arial" w:eastAsia="Arial" w:hAnsi="Arial"/>
          <w:sz w:val="12"/>
          <w:szCs w:val="12"/>
          <w:color w:val="auto"/>
        </w:rPr>
      </w:pPr>
    </w:p>
    <w:p>
      <w:pPr>
        <w:ind w:left="540" w:hanging="136"/>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headings contained herein are for convenience only, do not constitute a part of this Certificate of Designation and shall not be deemed to limit or affect any of the provisions hereof.</w:t>
      </w:r>
    </w:p>
    <w:p>
      <w:pPr>
        <w:spacing w:after="0" w:line="78" w:lineRule="exact"/>
        <w:rPr>
          <w:rFonts w:ascii="Arial" w:cs="Arial" w:eastAsia="Arial" w:hAnsi="Arial"/>
          <w:sz w:val="12"/>
          <w:szCs w:val="12"/>
          <w:color w:val="auto"/>
        </w:rPr>
      </w:pPr>
    </w:p>
    <w:p>
      <w:pPr>
        <w:ind w:left="-20" w:right="320" w:firstLine="424"/>
        <w:spacing w:after="0" w:line="323" w:lineRule="auto"/>
        <w:tabs>
          <w:tab w:leader="none" w:pos="515" w:val="left"/>
        </w:tabs>
        <w:numPr>
          <w:ilvl w:val="0"/>
          <w:numId w:val="10"/>
        </w:numPr>
        <w:rPr>
          <w:rFonts w:ascii="Arial" w:cs="Arial" w:eastAsia="Arial" w:hAnsi="Arial"/>
          <w:sz w:val="11"/>
          <w:szCs w:val="11"/>
          <w:color w:val="auto"/>
        </w:rPr>
      </w:pPr>
      <w:r>
        <w:rPr>
          <w:rFonts w:ascii="Arial" w:cs="Arial" w:eastAsia="Arial" w:hAnsi="Arial"/>
          <w:sz w:val="11"/>
          <w:szCs w:val="11"/>
          <w:u w:val="single" w:color="auto"/>
          <w:color w:val="auto"/>
        </w:rPr>
        <w:t>Status of Converted or Redeemed Preferred Stock</w:t>
      </w:r>
      <w:r>
        <w:rPr>
          <w:rFonts w:ascii="Arial" w:cs="Arial" w:eastAsia="Arial" w:hAnsi="Arial"/>
          <w:sz w:val="11"/>
          <w:szCs w:val="11"/>
          <w:color w:val="auto"/>
        </w:rPr>
        <w:t>. Shares of Preferred Stock may only be issued pursuant to the Purchase Agreement. If any shares of Preferred Stock shall be converted, redeemed or reacquired by the Corporation, such shares shall resume the status of authorized but unissued shares of preferred stock and shall no longer be designated as Series B Convertible Preferred Stock.</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240"/>
          </w:cols>
          <w:pgMar w:left="320" w:top="1067" w:right="339" w:bottom="1440" w:gutter="0" w:footer="0" w:header="0"/>
        </w:sectPr>
      </w:pPr>
    </w:p>
    <w:bookmarkStart w:id="14" w:name="page15"/>
    <w:bookmarkEnd w:id="14"/>
    <w:p>
      <w:pPr>
        <w:ind w:firstLine="432"/>
        <w:spacing w:after="0" w:line="276" w:lineRule="auto"/>
        <w:rPr>
          <w:sz w:val="20"/>
          <w:szCs w:val="20"/>
          <w:color w:val="auto"/>
        </w:rPr>
      </w:pPr>
      <w:r>
        <w:rPr>
          <w:rFonts w:ascii="Arial" w:cs="Arial" w:eastAsia="Arial" w:hAnsi="Arial"/>
          <w:sz w:val="12"/>
          <w:szCs w:val="12"/>
          <w:color w:val="auto"/>
        </w:rPr>
        <w:t>RESOLVED, FURTHER, that the Chairman,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WITNESS WHEREOF, the undersigned have executed this Certificate this [__] day of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249555</wp:posOffset>
            </wp:positionV>
            <wp:extent cx="28746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4645" cy="5715"/>
                    </a:xfrm>
                    <a:prstGeom prst="rect">
                      <a:avLst/>
                    </a:prstGeom>
                    <a:noFill/>
                  </pic:spPr>
                </pic:pic>
              </a:graphicData>
            </a:graphic>
          </wp:anchor>
        </w:drawing>
      </w:r>
    </w:p>
    <w:p>
      <w:pPr>
        <w:spacing w:after="0" w:line="391"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Name: Shankar Musunuri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2"/>
          <w:szCs w:val="1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40"/>
          </w:cols>
          <w:pgMar w:left="300" w:top="995"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ANNEX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NOTICE OF CONVERSION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CONVERT SHARES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OF PREFERRED STOCK)</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undersigned hereby elects to convert the number of shares of Series B Convertible Preferred Stock indicated below into shares of common stock, par value $0.01 per share (the “</w:t>
      </w:r>
      <w:r>
        <w:rPr>
          <w:rFonts w:ascii="Arial" w:cs="Arial" w:eastAsia="Arial" w:hAnsi="Arial"/>
          <w:sz w:val="12"/>
          <w:szCs w:val="12"/>
          <w:u w:val="single" w:color="auto"/>
          <w:color w:val="auto"/>
        </w:rPr>
        <w:t>Common Stock</w:t>
      </w:r>
      <w:r>
        <w:rPr>
          <w:rFonts w:ascii="Arial" w:cs="Arial" w:eastAsia="Arial" w:hAnsi="Arial"/>
          <w:sz w:val="12"/>
          <w:szCs w:val="12"/>
          <w:color w:val="auto"/>
        </w:rPr>
        <w:t>”), of Ocugen, Inc., a Delaware corporation (the “</w:t>
      </w:r>
      <w:r>
        <w:rPr>
          <w:rFonts w:ascii="Arial" w:cs="Arial" w:eastAsia="Arial" w:hAnsi="Arial"/>
          <w:sz w:val="12"/>
          <w:szCs w:val="12"/>
          <w:u w:val="single" w:color="auto"/>
          <w:color w:val="auto"/>
        </w:rPr>
        <w:t>Corporation</w:t>
      </w:r>
      <w:r>
        <w:rPr>
          <w:rFonts w:ascii="Arial" w:cs="Arial" w:eastAsia="Arial" w:hAnsi="Arial"/>
          <w:sz w:val="12"/>
          <w:szCs w:val="12"/>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Conversion calculations:</w:t>
      </w:r>
    </w:p>
    <w:p>
      <w:pPr>
        <w:spacing w:after="0" w:line="4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Date to Effect Conversion:</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Number of shares of Preferred Stock owned prior to Conversion:</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Number of shares of Preferred Stock to be Converted:</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Number of shares of Common Stock to be Issued:</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Number of shares of Preferred Stock subsequent to Conversion:</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Address for Delivery:</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2"/>
          <w:szCs w:val="12"/>
          <w:u w:val="single" w:color="auto"/>
          <w:color w:val="auto"/>
        </w:rPr>
        <w:t>or</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DWAC Instructions:</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Broker no:</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Account no:</w:t>
      </w:r>
    </w:p>
    <w:p>
      <w:pPr>
        <w:spacing w:after="0" w:line="200" w:lineRule="exact"/>
        <w:rPr>
          <w:sz w:val="20"/>
          <w:szCs w:val="20"/>
          <w:color w:val="auto"/>
        </w:rPr>
      </w:pPr>
    </w:p>
    <w:p>
      <w:pPr>
        <w:spacing w:after="0" w:line="328"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[HOLDER]</w:t>
      </w:r>
    </w:p>
    <w:p>
      <w:pPr>
        <w:spacing w:after="0" w:line="195" w:lineRule="exact"/>
        <w:rPr>
          <w:sz w:val="20"/>
          <w:szCs w:val="20"/>
          <w:color w:val="auto"/>
        </w:rPr>
      </w:pPr>
    </w:p>
    <w:p>
      <w:pPr>
        <w:ind w:left="66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9525</wp:posOffset>
            </wp:positionV>
            <wp:extent cx="26003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0325" cy="5715"/>
                    </a:xfrm>
                    <a:prstGeom prst="rect">
                      <a:avLst/>
                    </a:prstGeom>
                    <a:noFill/>
                  </pic:spPr>
                </pic:pic>
              </a:graphicData>
            </a:graphic>
          </wp:anchor>
        </w:drawing>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2"/>
          <w:szCs w:val="1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80"/>
          </w:cols>
          <w:pgMar w:left="300" w:top="991" w:right="319" w:bottom="1440"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lvl w:ilvl="1">
      <w:lvlJc w:val="left"/>
      <w:lvlText w:val="%2."/>
      <w:numFmt w:val="lowerRoman"/>
      <w:start w:val="1"/>
    </w:lvl>
  </w:abstractNum>
  <w:abstractNum w:abstractNumId="3">
    <w:nsid w:val="41B71EFB"/>
    <w:multiLevelType w:val="hybridMultilevel"/>
    <w:lvl w:ilvl="0">
      <w:lvlJc w:val="left"/>
      <w:lvlText w:val="%1."/>
      <w:numFmt w:val="lowerRoman"/>
      <w:start w:val="3"/>
    </w:lvl>
  </w:abstractNum>
  <w:abstractNum w:abstractNumId="4">
    <w:nsid w:val="79E2A9E3"/>
    <w:multiLevelType w:val="hybridMultilevel"/>
    <w:lvl w:ilvl="0">
      <w:lvlJc w:val="left"/>
      <w:lvlText w:val="%1"/>
      <w:numFmt w:val="lowerRoman"/>
      <w:start w:val="1"/>
    </w:lvl>
    <w:lvl w:ilvl="1">
      <w:lvlJc w:val="left"/>
      <w:lvlText w:val="%2)"/>
      <w:numFmt w:val="lowerLetter"/>
      <w:start w:val="1"/>
    </w:lvl>
  </w:abstractNum>
  <w:abstractNum w:abstractNumId="5">
    <w:nsid w:val="7545E146"/>
    <w:multiLevelType w:val="hybridMultilevel"/>
    <w:lvl w:ilvl="0">
      <w:lvlJc w:val="left"/>
      <w:lvlText w:val="(%1)"/>
      <w:numFmt w:val="lowerRoman"/>
      <w:start w:val="4"/>
    </w:lvl>
    <w:lvl w:ilvl="1">
      <w:lvlJc w:val="left"/>
      <w:lvlText w:val="%2)"/>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6"/>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2021-03-05T16:20:19Z</dcterms:created>
  <dcterms:modified xsi:type="dcterms:W3CDTF">2021-03-05T16:20:19Z</dcterms:modified>
</cp:coreProperties>
</file>