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 (d)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OCUGEN,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40" w:type="dxa"/>
        <w:tblCellMar>
          <w:top w:w="0" w:type="dxa"/>
          <w:left w:w="0" w:type="dxa"/>
          <w:bottom w:w="0" w:type="dxa"/>
          <w:right w:w="0" w:type="dxa"/>
        </w:tblCellMar>
      </w:tblPr>
      <w:tr>
        <w:trPr>
          <w:trHeight w:val="220"/>
        </w:trPr>
        <w:tc>
          <w:tcPr>
            <w:tcW w:w="32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001-36751</w:t>
            </w:r>
          </w:p>
        </w:tc>
        <w:tc>
          <w:tcPr>
            <w:tcW w:w="29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04-3522315</w:t>
            </w:r>
          </w:p>
        </w:tc>
      </w:tr>
      <w:tr>
        <w:trPr>
          <w:trHeight w:val="216"/>
        </w:trPr>
        <w:tc>
          <w:tcPr>
            <w:tcW w:w="32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(Commission</w:t>
            </w:r>
          </w:p>
        </w:tc>
        <w:tc>
          <w:tcPr>
            <w:tcW w:w="29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8"/>
              </w:rPr>
              <w:t>Incorporation)</w:t>
            </w:r>
          </w:p>
        </w:tc>
        <w:tc>
          <w:tcPr>
            <w:tcW w:w="3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292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263 Great Valley Parkway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Malvern, Pennsylvania 19355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(484) 328-4701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(Addresses, including zip code, and telephone numbers, including area code,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32"/>
        </w:trPr>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4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$0.01 par value per share</w:t>
            </w:r>
          </w:p>
        </w:tc>
        <w:tc>
          <w:tcPr>
            <w:tcW w:w="12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OCGN</w:t>
            </w:r>
          </w:p>
        </w:tc>
        <w:tc>
          <w:tcPr>
            <w:tcW w:w="100" w:type="dxa"/>
            <w:vAlign w:val="bottom"/>
          </w:tcPr>
          <w:p>
            <w:pPr>
              <w:spacing w:after="0"/>
              <w:rPr>
                <w:sz w:val="16"/>
                <w:szCs w:val="16"/>
                <w:color w:val="auto"/>
              </w:rPr>
            </w:pPr>
          </w:p>
        </w:tc>
        <w:tc>
          <w:tcPr>
            <w:tcW w:w="43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March 16, 2021, Ocugen,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a Special Meeting of Stockholders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virtually, which was adjourned to April 14, 2021 solely with respect to the voting on Item 1, the approval and adoption of an amendment to the Company’s Sixth Amended and Restated Certificate of Incorporation to increase the number of authorized shares of common stock, par value $0.01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Item 1</w:t>
      </w:r>
      <w:r>
        <w:rPr>
          <w:rFonts w:ascii="Times New Roman" w:cs="Times New Roman" w:eastAsia="Times New Roman" w:hAnsi="Times New Roman"/>
          <w:sz w:val="18"/>
          <w:szCs w:val="18"/>
          <w:color w:val="auto"/>
        </w:rPr>
        <w:t>”). A total of 101,125,572 shares of the Company’s Common Stock, or 53.78% of the Common Stock outstanding as of February 11, 2021, the record date for the Special Meeting, were represented virtually or by proxy at the Special Meeting.</w:t>
      </w:r>
    </w:p>
    <w:p>
      <w:pPr>
        <w:spacing w:after="0" w:line="18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brief description of the final voting results for each of the proposals submitted to a vote of the stockholders at the Special Meeting on March 16, 2021.</w:t>
      </w:r>
    </w:p>
    <w:p>
      <w:pPr>
        <w:spacing w:after="0" w:line="160" w:lineRule="exact"/>
        <w:rPr>
          <w:sz w:val="20"/>
          <w:szCs w:val="20"/>
          <w:color w:val="auto"/>
        </w:rPr>
      </w:pPr>
    </w:p>
    <w:p>
      <w:pPr>
        <w:ind w:right="5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Item 2 — Approval of the adjournment of the Special Meeting to the extent there are insufficient votes at the Special Meeting to approve the Authorized Shares Amendment Proposal</w:t>
      </w:r>
      <w:r>
        <w:rPr>
          <w:rFonts w:ascii="Times New Roman" w:cs="Times New Roman" w:eastAsia="Times New Roman" w:hAnsi="Times New Roman"/>
          <w:sz w:val="18"/>
          <w:szCs w:val="18"/>
          <w:color w:val="auto"/>
        </w:rPr>
        <w:t>. The stockholders approved the proposal to adjourn the Special Meeting to a later date if there had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insufficient votes at the time of the Special Meeting to approve the Item 1. The voting results were as follows:</w:t>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7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09"/>
        </w:trPr>
        <w:tc>
          <w:tcPr>
            <w:tcW w:w="27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81,846,988</w:t>
            </w:r>
          </w:p>
        </w:tc>
        <w:tc>
          <w:tcPr>
            <w:tcW w:w="272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17,131,799</w:t>
            </w:r>
          </w:p>
        </w:tc>
        <w:tc>
          <w:tcPr>
            <w:tcW w:w="24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2,146,785</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Adjournment With Respect to Item 1</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Special Meeting was adjourned to April 14, 2021 solely with respect to Item 1 in order to provide additional time for stockholders to consider and vote on such proposal. The Special Meeting will reconvene at 11:00 a.m. Eastern Time on April 14, 2021, virtually at www.virtualshareholdermeeting.com/OCGN2021SM.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2021</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OCUGEN, INC.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Shankar Musunuri</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2021-03-17T16:09:27Z</dcterms:created>
  <dcterms:modified xsi:type="dcterms:W3CDTF">2021-03-17T16:09:27Z</dcterms:modified>
</cp:coreProperties>
</file>