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-116205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-124460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001-36751</w:t>
      </w:r>
    </w:p>
    <w:p>
      <w:pPr>
        <w:spacing w:after="0" w:line="45"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OCUGEN,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___________________________________________________________</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jc w:val="center"/>
              <w:ind w:left="2075"/>
              <w:spacing w:after="0"/>
              <w:rPr>
                <w:sz w:val="20"/>
                <w:szCs w:val="20"/>
                <w:color w:val="auto"/>
              </w:rPr>
            </w:pPr>
            <w:r>
              <w:rPr>
                <w:rFonts w:ascii="Arial" w:cs="Arial" w:eastAsia="Arial" w:hAnsi="Arial"/>
                <w:sz w:val="17"/>
                <w:szCs w:val="17"/>
                <w:b w:val="1"/>
                <w:bCs w:val="1"/>
                <w:color w:val="auto"/>
                <w:w w:val="91"/>
              </w:rPr>
              <w:t>Delaware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60" w:type="dxa"/>
            <w:vAlign w:val="bottom"/>
          </w:tcPr>
          <w:p>
            <w:pPr>
              <w:jc w:val="center"/>
              <w:ind w:right="2055"/>
              <w:spacing w:after="0"/>
              <w:rPr>
                <w:sz w:val="20"/>
                <w:szCs w:val="20"/>
                <w:color w:val="auto"/>
              </w:rPr>
            </w:pPr>
            <w:r>
              <w:rPr>
                <w:rFonts w:ascii="Arial" w:cs="Arial" w:eastAsia="Arial" w:hAnsi="Arial"/>
                <w:sz w:val="17"/>
                <w:szCs w:val="17"/>
                <w:b w:val="1"/>
                <w:bCs w:val="1"/>
                <w:color w:val="auto"/>
                <w:w w:val="92"/>
              </w:rPr>
              <w:t>04-3522315</w:t>
            </w:r>
          </w:p>
        </w:tc>
      </w:tr>
      <w:tr>
        <w:trPr>
          <w:trHeight w:val="166"/>
        </w:trPr>
        <w:tc>
          <w:tcPr>
            <w:tcW w:w="7780" w:type="dxa"/>
            <w:vAlign w:val="bottom"/>
            <w:gridSpan w:val="6"/>
          </w:tcPr>
          <w:p>
            <w:pPr>
              <w:jc w:val="center"/>
              <w:ind w:right="2120"/>
              <w:spacing w:after="0" w:line="167" w:lineRule="exact"/>
              <w:rPr>
                <w:sz w:val="20"/>
                <w:szCs w:val="20"/>
                <w:color w:val="auto"/>
              </w:rPr>
            </w:pPr>
            <w:r>
              <w:rPr>
                <w:rFonts w:ascii="Arial" w:cs="Arial" w:eastAsia="Arial" w:hAnsi="Arial"/>
                <w:sz w:val="17"/>
                <w:szCs w:val="17"/>
                <w:color w:val="auto"/>
                <w:w w:val="93"/>
              </w:rPr>
              <w:t>(State or other jurisdiction of</w:t>
            </w:r>
          </w:p>
        </w:tc>
        <w:tc>
          <w:tcPr>
            <w:tcW w:w="3460" w:type="dxa"/>
            <w:vAlign w:val="bottom"/>
          </w:tcPr>
          <w:p>
            <w:pPr>
              <w:jc w:val="center"/>
              <w:ind w:right="2055"/>
              <w:spacing w:after="0" w:line="167" w:lineRule="exact"/>
              <w:rPr>
                <w:sz w:val="20"/>
                <w:szCs w:val="20"/>
                <w:color w:val="auto"/>
              </w:rPr>
            </w:pPr>
            <w:r>
              <w:rPr>
                <w:rFonts w:ascii="Arial" w:cs="Arial" w:eastAsia="Arial" w:hAnsi="Arial"/>
                <w:sz w:val="17"/>
                <w:szCs w:val="17"/>
                <w:color w:val="auto"/>
                <w:w w:val="92"/>
              </w:rPr>
              <w:t>(I.R.S. Employer</w:t>
            </w:r>
          </w:p>
        </w:tc>
      </w:tr>
      <w:tr>
        <w:trPr>
          <w:trHeight w:val="216"/>
        </w:trPr>
        <w:tc>
          <w:tcPr>
            <w:tcW w:w="7780" w:type="dxa"/>
            <w:vAlign w:val="bottom"/>
            <w:gridSpan w:val="6"/>
          </w:tcPr>
          <w:p>
            <w:pPr>
              <w:jc w:val="center"/>
              <w:ind w:right="2120"/>
              <w:spacing w:after="0"/>
              <w:rPr>
                <w:sz w:val="20"/>
                <w:szCs w:val="20"/>
                <w:color w:val="auto"/>
              </w:rPr>
            </w:pPr>
            <w:r>
              <w:rPr>
                <w:rFonts w:ascii="Arial" w:cs="Arial" w:eastAsia="Arial" w:hAnsi="Arial"/>
                <w:sz w:val="17"/>
                <w:szCs w:val="17"/>
                <w:color w:val="auto"/>
                <w:w w:val="93"/>
              </w:rPr>
              <w:t>incorporation or organization)</w:t>
            </w:r>
          </w:p>
        </w:tc>
        <w:tc>
          <w:tcPr>
            <w:tcW w:w="3460" w:type="dxa"/>
            <w:vAlign w:val="bottom"/>
          </w:tcPr>
          <w:p>
            <w:pPr>
              <w:jc w:val="center"/>
              <w:ind w:right="2055"/>
              <w:spacing w:after="0"/>
              <w:rPr>
                <w:sz w:val="20"/>
                <w:szCs w:val="20"/>
                <w:color w:val="auto"/>
              </w:rPr>
            </w:pPr>
            <w:r>
              <w:rPr>
                <w:rFonts w:ascii="Arial" w:cs="Arial" w:eastAsia="Arial" w:hAnsi="Arial"/>
                <w:sz w:val="17"/>
                <w:szCs w:val="17"/>
                <w:color w:val="auto"/>
                <w:w w:val="96"/>
              </w:rPr>
              <w:t>Identification No.)</w:t>
            </w:r>
          </w:p>
        </w:tc>
      </w:tr>
      <w:tr>
        <w:trPr>
          <w:trHeight w:val="288"/>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w w:val="91"/>
              </w:rPr>
              <w:t>5 Great Valley Parkway, Suite 160</w:t>
            </w:r>
          </w:p>
        </w:tc>
        <w:tc>
          <w:tcPr>
            <w:tcW w:w="3460" w:type="dxa"/>
            <w:vAlign w:val="bottom"/>
          </w:tcPr>
          <w:p>
            <w:pPr>
              <w:spacing w:after="0"/>
              <w:rPr>
                <w:sz w:val="24"/>
                <w:szCs w:val="24"/>
                <w:color w:val="auto"/>
              </w:rPr>
            </w:pPr>
          </w:p>
        </w:tc>
      </w:tr>
      <w:tr>
        <w:trPr>
          <w:trHeight w:val="207"/>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w w:val="92"/>
              </w:rPr>
              <w:t>Malvern, Pennsylvania 19355</w:t>
            </w:r>
          </w:p>
        </w:tc>
        <w:tc>
          <w:tcPr>
            <w:tcW w:w="3460" w:type="dxa"/>
            <w:vAlign w:val="bottom"/>
          </w:tcPr>
          <w:p>
            <w:pPr>
              <w:spacing w:after="0"/>
              <w:rPr>
                <w:sz w:val="17"/>
                <w:szCs w:val="17"/>
                <w:color w:val="auto"/>
              </w:rPr>
            </w:pPr>
          </w:p>
        </w:tc>
      </w:tr>
      <w:tr>
        <w:trPr>
          <w:trHeight w:val="216"/>
        </w:trPr>
        <w:tc>
          <w:tcPr>
            <w:tcW w:w="3480" w:type="dxa"/>
            <w:vAlign w:val="bottom"/>
          </w:tcPr>
          <w:p>
            <w:pPr>
              <w:spacing w:after="0"/>
              <w:rPr>
                <w:sz w:val="18"/>
                <w:szCs w:val="18"/>
                <w:color w:val="auto"/>
              </w:rPr>
            </w:pPr>
          </w:p>
        </w:tc>
        <w:tc>
          <w:tcPr>
            <w:tcW w:w="4300" w:type="dxa"/>
            <w:vAlign w:val="bottom"/>
            <w:gridSpan w:val="5"/>
          </w:tcPr>
          <w:p>
            <w:pPr>
              <w:jc w:val="center"/>
              <w:spacing w:after="0"/>
              <w:rPr>
                <w:sz w:val="20"/>
                <w:szCs w:val="20"/>
                <w:color w:val="auto"/>
              </w:rPr>
            </w:pPr>
            <w:r>
              <w:rPr>
                <w:rFonts w:ascii="Arial" w:cs="Arial" w:eastAsia="Arial" w:hAnsi="Arial"/>
                <w:sz w:val="17"/>
                <w:szCs w:val="17"/>
                <w:color w:val="auto"/>
                <w:w w:val="93"/>
              </w:rPr>
              <w:t>(Address of principal executive offices, including zip code)</w:t>
            </w:r>
          </w:p>
        </w:tc>
        <w:tc>
          <w:tcPr>
            <w:tcW w:w="34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3800" w:type="dxa"/>
            <w:vAlign w:val="bottom"/>
            <w:gridSpan w:val="3"/>
          </w:tcPr>
          <w:p>
            <w:pPr>
              <w:jc w:val="right"/>
              <w:ind w:right="1035"/>
              <w:spacing w:after="0"/>
              <w:rPr>
                <w:sz w:val="20"/>
                <w:szCs w:val="20"/>
                <w:color w:val="auto"/>
              </w:rPr>
            </w:pPr>
            <w:r>
              <w:rPr>
                <w:rFonts w:ascii="Arial" w:cs="Arial" w:eastAsia="Arial" w:hAnsi="Arial"/>
                <w:sz w:val="17"/>
                <w:szCs w:val="17"/>
                <w:b w:val="1"/>
                <w:bCs w:val="1"/>
                <w:color w:val="auto"/>
              </w:rPr>
              <w:t>(484) 328-4701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8"/>
        </w:trPr>
        <w:tc>
          <w:tcPr>
            <w:tcW w:w="3480" w:type="dxa"/>
            <w:vAlign w:val="bottom"/>
          </w:tcPr>
          <w:p>
            <w:pPr>
              <w:spacing w:after="0"/>
              <w:rPr>
                <w:sz w:val="17"/>
                <w:szCs w:val="17"/>
                <w:color w:val="auto"/>
              </w:rPr>
            </w:pPr>
          </w:p>
        </w:tc>
        <w:tc>
          <w:tcPr>
            <w:tcW w:w="4300" w:type="dxa"/>
            <w:vAlign w:val="bottom"/>
            <w:gridSpan w:val="5"/>
          </w:tcPr>
          <w:p>
            <w:pPr>
              <w:jc w:val="center"/>
              <w:spacing w:after="0"/>
              <w:rPr>
                <w:sz w:val="20"/>
                <w:szCs w:val="20"/>
                <w:color w:val="auto"/>
              </w:rPr>
            </w:pPr>
            <w:r>
              <w:rPr>
                <w:rFonts w:ascii="Arial" w:cs="Arial" w:eastAsia="Arial" w:hAnsi="Arial"/>
                <w:sz w:val="17"/>
                <w:szCs w:val="17"/>
                <w:color w:val="auto"/>
                <w:w w:val="90"/>
              </w:rPr>
              <w:t>(Registrant’s telephone number, including area code)</w:t>
            </w:r>
          </w:p>
        </w:tc>
        <w:tc>
          <w:tcPr>
            <w:tcW w:w="3460" w:type="dxa"/>
            <w:vAlign w:val="bottom"/>
          </w:tcPr>
          <w:p>
            <w:pPr>
              <w:spacing w:after="0"/>
              <w:rPr>
                <w:sz w:val="17"/>
                <w:szCs w:val="17"/>
                <w:color w:val="auto"/>
              </w:rPr>
            </w:pPr>
          </w:p>
        </w:tc>
      </w:tr>
      <w:tr>
        <w:trPr>
          <w:trHeight w:val="186"/>
        </w:trPr>
        <w:tc>
          <w:tcPr>
            <w:tcW w:w="3480" w:type="dxa"/>
            <w:vAlign w:val="bottom"/>
          </w:tcPr>
          <w:p>
            <w:pPr>
              <w:spacing w:after="0"/>
              <w:rPr>
                <w:sz w:val="16"/>
                <w:szCs w:val="16"/>
                <w:color w:val="auto"/>
              </w:rPr>
            </w:pPr>
          </w:p>
        </w:tc>
        <w:tc>
          <w:tcPr>
            <w:tcW w:w="43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2"/>
              </w:rPr>
              <w:t>___________________________________________________________</w:t>
            </w:r>
          </w:p>
        </w:tc>
        <w:tc>
          <w:tcPr>
            <w:tcW w:w="3460" w:type="dxa"/>
            <w:vAlign w:val="bottom"/>
          </w:tcPr>
          <w:p>
            <w:pPr>
              <w:spacing w:after="0"/>
              <w:rPr>
                <w:sz w:val="16"/>
                <w:szCs w:val="16"/>
                <w:color w:val="auto"/>
              </w:rPr>
            </w:pPr>
          </w:p>
        </w:tc>
      </w:tr>
      <w:tr>
        <w:trPr>
          <w:trHeight w:val="237"/>
        </w:trPr>
        <w:tc>
          <w:tcPr>
            <w:tcW w:w="3480" w:type="dxa"/>
            <w:vAlign w:val="bottom"/>
          </w:tcPr>
          <w:p>
            <w:pPr>
              <w:spacing w:after="0"/>
              <w:rPr>
                <w:sz w:val="20"/>
                <w:szCs w:val="20"/>
                <w:color w:val="auto"/>
              </w:rPr>
            </w:pPr>
          </w:p>
        </w:tc>
        <w:tc>
          <w:tcPr>
            <w:tcW w:w="4300" w:type="dxa"/>
            <w:vAlign w:val="bottom"/>
            <w:gridSpan w:val="5"/>
          </w:tcPr>
          <w:p>
            <w:pPr>
              <w:jc w:val="center"/>
              <w:ind w:right="20"/>
              <w:spacing w:after="0"/>
              <w:rPr>
                <w:sz w:val="20"/>
                <w:szCs w:val="20"/>
                <w:color w:val="auto"/>
              </w:rPr>
            </w:pPr>
            <w:r>
              <w:rPr>
                <w:rFonts w:ascii="Arial" w:cs="Arial" w:eastAsia="Arial" w:hAnsi="Arial"/>
                <w:sz w:val="17"/>
                <w:szCs w:val="17"/>
                <w:color w:val="auto"/>
                <w:w w:val="90"/>
              </w:rPr>
              <w:t>Securities registered pursuant to Section 12(b) of the Act</w:t>
            </w:r>
          </w:p>
        </w:tc>
        <w:tc>
          <w:tcPr>
            <w:tcW w:w="3460" w:type="dxa"/>
            <w:vAlign w:val="bottom"/>
          </w:tcPr>
          <w:p>
            <w:pPr>
              <w:spacing w:after="0"/>
              <w:rPr>
                <w:sz w:val="20"/>
                <w:szCs w:val="20"/>
                <w:color w:val="auto"/>
              </w:rPr>
            </w:pPr>
          </w:p>
        </w:tc>
      </w:tr>
      <w:tr>
        <w:trPr>
          <w:trHeight w:val="239"/>
        </w:trPr>
        <w:tc>
          <w:tcPr>
            <w:tcW w:w="3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92"/>
              </w:rPr>
              <w:t>Trading</w:t>
            </w:r>
          </w:p>
        </w:tc>
        <w:tc>
          <w:tcPr>
            <w:tcW w:w="3460" w:type="dxa"/>
            <w:vAlign w:val="bottom"/>
          </w:tcPr>
          <w:p>
            <w:pPr>
              <w:jc w:val="center"/>
              <w:ind w:right="315"/>
              <w:spacing w:after="0"/>
              <w:rPr>
                <w:sz w:val="20"/>
                <w:szCs w:val="20"/>
                <w:color w:val="auto"/>
              </w:rPr>
            </w:pPr>
            <w:r>
              <w:rPr>
                <w:rFonts w:ascii="Arial" w:cs="Arial" w:eastAsia="Arial" w:hAnsi="Arial"/>
                <w:sz w:val="17"/>
                <w:szCs w:val="17"/>
                <w:b w:val="1"/>
                <w:bCs w:val="1"/>
                <w:color w:val="auto"/>
                <w:w w:val="87"/>
              </w:rPr>
              <w:t>Name of each exchange</w:t>
            </w:r>
          </w:p>
        </w:tc>
      </w:tr>
      <w:tr>
        <w:trPr>
          <w:trHeight w:val="249"/>
        </w:trPr>
        <w:tc>
          <w:tcPr>
            <w:tcW w:w="3480" w:type="dxa"/>
            <w:vAlign w:val="bottom"/>
            <w:tcBorders>
              <w:bottom w:val="single" w:sz="8" w:color="auto"/>
            </w:tcBorders>
          </w:tcPr>
          <w:p>
            <w:pPr>
              <w:jc w:val="center"/>
              <w:ind w:left="315"/>
              <w:spacing w:after="0"/>
              <w:rPr>
                <w:sz w:val="20"/>
                <w:szCs w:val="20"/>
                <w:color w:val="auto"/>
              </w:rPr>
            </w:pPr>
            <w:r>
              <w:rPr>
                <w:rFonts w:ascii="Arial" w:cs="Arial" w:eastAsia="Arial" w:hAnsi="Arial"/>
                <w:sz w:val="17"/>
                <w:szCs w:val="17"/>
                <w:b w:val="1"/>
                <w:bCs w:val="1"/>
                <w:color w:val="auto"/>
                <w:w w:val="87"/>
              </w:rPr>
              <w:t>Title of each class</w:t>
            </w:r>
          </w:p>
        </w:tc>
        <w:tc>
          <w:tcPr>
            <w:tcW w:w="3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symbol(s)</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jc w:val="center"/>
              <w:ind w:right="335"/>
              <w:spacing w:after="0"/>
              <w:rPr>
                <w:sz w:val="20"/>
                <w:szCs w:val="20"/>
                <w:color w:val="auto"/>
              </w:rPr>
            </w:pPr>
            <w:r>
              <w:rPr>
                <w:rFonts w:ascii="Arial" w:cs="Arial" w:eastAsia="Arial" w:hAnsi="Arial"/>
                <w:sz w:val="17"/>
                <w:szCs w:val="17"/>
                <w:b w:val="1"/>
                <w:bCs w:val="1"/>
                <w:color w:val="auto"/>
                <w:w w:val="89"/>
              </w:rPr>
              <w:t>on which registered</w:t>
            </w:r>
          </w:p>
        </w:tc>
      </w:tr>
      <w:tr>
        <w:trPr>
          <w:trHeight w:val="221"/>
        </w:trPr>
        <w:tc>
          <w:tcPr>
            <w:tcW w:w="3480" w:type="dxa"/>
            <w:vAlign w:val="bottom"/>
          </w:tcPr>
          <w:p>
            <w:pPr>
              <w:jc w:val="center"/>
              <w:ind w:left="315"/>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gridSpan w:val="3"/>
          </w:tcPr>
          <w:p>
            <w:pPr>
              <w:jc w:val="center"/>
              <w:ind w:right="520"/>
              <w:spacing w:after="0"/>
              <w:rPr>
                <w:sz w:val="20"/>
                <w:szCs w:val="20"/>
                <w:color w:val="auto"/>
              </w:rPr>
            </w:pPr>
            <w:r>
              <w:rPr>
                <w:rFonts w:ascii="Arial" w:cs="Arial" w:eastAsia="Arial" w:hAnsi="Arial"/>
                <w:sz w:val="17"/>
                <w:szCs w:val="17"/>
                <w:b w:val="1"/>
                <w:bCs w:val="1"/>
                <w:color w:val="auto"/>
                <w:w w:val="97"/>
              </w:rPr>
              <w:t>OCGN</w:t>
            </w:r>
          </w:p>
        </w:tc>
        <w:tc>
          <w:tcPr>
            <w:tcW w:w="3460" w:type="dxa"/>
            <w:vAlign w:val="bottom"/>
          </w:tcPr>
          <w:p>
            <w:pPr>
              <w:jc w:val="center"/>
              <w:ind w:right="335"/>
              <w:spacing w:after="0"/>
              <w:rPr>
                <w:sz w:val="20"/>
                <w:szCs w:val="20"/>
                <w:color w:val="auto"/>
              </w:rPr>
            </w:pPr>
            <w:r>
              <w:rPr>
                <w:rFonts w:ascii="Arial" w:cs="Arial" w:eastAsia="Arial" w:hAnsi="Arial"/>
                <w:sz w:val="17"/>
                <w:szCs w:val="17"/>
                <w:b w:val="1"/>
                <w:bCs w:val="1"/>
                <w:color w:val="auto"/>
                <w:w w:val="92"/>
              </w:rPr>
              <w:t>The Nasdaq Stock Market</w:t>
            </w:r>
          </w:p>
        </w:tc>
      </w:tr>
    </w:tbl>
    <w:p>
      <w:pPr>
        <w:spacing w:after="0" w:line="229" w:lineRule="exact"/>
        <w:rPr>
          <w:sz w:val="24"/>
          <w:szCs w:val="24"/>
          <w:color w:val="auto"/>
        </w:rPr>
      </w:pPr>
    </w:p>
    <w:p>
      <w:pPr>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8" w:lineRule="exact"/>
        <w:rPr>
          <w:sz w:val="24"/>
          <w:szCs w:val="24"/>
          <w:color w:val="auto"/>
        </w:rPr>
      </w:pPr>
    </w:p>
    <w:p>
      <w:pPr>
        <w:ind w:right="120"/>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67" w:lineRule="exact"/>
        <w:rPr>
          <w:sz w:val="24"/>
          <w:szCs w:val="24"/>
          <w:color w:val="auto"/>
        </w:rPr>
      </w:pPr>
    </w:p>
    <w:p>
      <w:pPr>
        <w:ind w:right="14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200" w:type="dxa"/>
            <w:vAlign w:val="bottom"/>
          </w:tcPr>
          <w:p>
            <w:pPr>
              <w:ind w:left="320"/>
              <w:spacing w:after="0"/>
              <w:rPr>
                <w:sz w:val="20"/>
                <w:szCs w:val="20"/>
                <w:color w:val="auto"/>
              </w:rPr>
            </w:pPr>
            <w:r>
              <w:rPr>
                <w:rFonts w:ascii="Arial" w:cs="Arial" w:eastAsia="Arial" w:hAnsi="Arial"/>
                <w:sz w:val="17"/>
                <w:szCs w:val="17"/>
                <w:color w:val="auto"/>
              </w:rPr>
              <w:t>o</w:t>
            </w:r>
          </w:p>
        </w:tc>
        <w:tc>
          <w:tcPr>
            <w:tcW w:w="4000" w:type="dxa"/>
            <w:vAlign w:val="bottom"/>
          </w:tcPr>
          <w:p>
            <w:pPr>
              <w:ind w:left="800"/>
              <w:spacing w:after="0"/>
              <w:rPr>
                <w:sz w:val="20"/>
                <w:szCs w:val="20"/>
                <w:color w:val="auto"/>
              </w:rPr>
            </w:pPr>
            <w:r>
              <w:rPr>
                <w:rFonts w:ascii="Arial" w:cs="Arial" w:eastAsia="Arial" w:hAnsi="Arial"/>
                <w:sz w:val="17"/>
                <w:szCs w:val="17"/>
                <w:color w:val="auto"/>
              </w:rPr>
              <w:t>Accelerated filer</w:t>
            </w:r>
          </w:p>
        </w:tc>
        <w:tc>
          <w:tcPr>
            <w:tcW w:w="1480" w:type="dxa"/>
            <w:vAlign w:val="bottom"/>
          </w:tcPr>
          <w:p>
            <w:pPr>
              <w:ind w:left="1320"/>
              <w:spacing w:after="0"/>
              <w:rPr>
                <w:sz w:val="20"/>
                <w:szCs w:val="20"/>
                <w:color w:val="auto"/>
              </w:rPr>
            </w:pPr>
            <w:r>
              <w:rPr>
                <w:rFonts w:ascii="Arial" w:cs="Arial" w:eastAsia="Arial" w:hAnsi="Arial"/>
                <w:sz w:val="17"/>
                <w:szCs w:val="17"/>
                <w:color w:val="auto"/>
              </w:rPr>
              <w:t>o</w:t>
            </w:r>
          </w:p>
        </w:tc>
      </w:tr>
      <w:tr>
        <w:trPr>
          <w:trHeight w:val="278"/>
        </w:trPr>
        <w:tc>
          <w:tcPr>
            <w:tcW w:w="1840" w:type="dxa"/>
            <w:vAlign w:val="bottom"/>
          </w:tcPr>
          <w:p>
            <w:pPr>
              <w:spacing w:after="0"/>
              <w:rPr>
                <w:sz w:val="20"/>
                <w:szCs w:val="20"/>
                <w:color w:val="auto"/>
              </w:rPr>
            </w:pPr>
            <w:r>
              <w:rPr>
                <w:rFonts w:ascii="Arial" w:cs="Arial" w:eastAsia="Arial" w:hAnsi="Arial"/>
                <w:sz w:val="17"/>
                <w:szCs w:val="17"/>
                <w:color w:val="auto"/>
              </w:rPr>
              <w:t>Non-accelerated Filer</w:t>
            </w:r>
          </w:p>
        </w:tc>
        <w:tc>
          <w:tcPr>
            <w:tcW w:w="1200" w:type="dxa"/>
            <w:vAlign w:val="bottom"/>
          </w:tcPr>
          <w:p>
            <w:pPr>
              <w:ind w:left="320"/>
              <w:spacing w:after="0"/>
              <w:rPr>
                <w:sz w:val="20"/>
                <w:szCs w:val="20"/>
                <w:color w:val="auto"/>
              </w:rPr>
            </w:pPr>
            <w:r>
              <w:rPr>
                <w:rFonts w:ascii="Arial" w:cs="Arial" w:eastAsia="Arial" w:hAnsi="Arial"/>
                <w:sz w:val="17"/>
                <w:szCs w:val="17"/>
                <w:color w:val="auto"/>
              </w:rPr>
              <w:t>x</w:t>
            </w:r>
          </w:p>
        </w:tc>
        <w:tc>
          <w:tcPr>
            <w:tcW w:w="4000" w:type="dxa"/>
            <w:vAlign w:val="bottom"/>
          </w:tcPr>
          <w:p>
            <w:pPr>
              <w:ind w:left="800"/>
              <w:spacing w:after="0"/>
              <w:rPr>
                <w:sz w:val="20"/>
                <w:szCs w:val="20"/>
                <w:color w:val="auto"/>
              </w:rPr>
            </w:pPr>
            <w:r>
              <w:rPr>
                <w:rFonts w:ascii="Arial" w:cs="Arial" w:eastAsia="Arial" w:hAnsi="Arial"/>
                <w:sz w:val="17"/>
                <w:szCs w:val="17"/>
                <w:color w:val="auto"/>
              </w:rPr>
              <w:t>Smaller reporting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8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0" w:type="dxa"/>
            <w:vAlign w:val="bottom"/>
          </w:tcPr>
          <w:p>
            <w:pPr>
              <w:ind w:left="800"/>
              <w:spacing w:after="0"/>
              <w:rPr>
                <w:sz w:val="20"/>
                <w:szCs w:val="20"/>
                <w:color w:val="auto"/>
              </w:rPr>
            </w:pPr>
            <w:r>
              <w:rPr>
                <w:rFonts w:ascii="Arial" w:cs="Arial" w:eastAsia="Arial" w:hAnsi="Arial"/>
                <w:sz w:val="17"/>
                <w:szCs w:val="17"/>
                <w:color w:val="auto"/>
              </w:rPr>
              <w:t>Emerging growth company</w:t>
            </w:r>
          </w:p>
        </w:tc>
        <w:tc>
          <w:tcPr>
            <w:tcW w:w="1480" w:type="dxa"/>
            <w:vAlign w:val="bottom"/>
          </w:tcPr>
          <w:p>
            <w:pPr>
              <w:ind w:left="1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34" w:lineRule="exact"/>
        <w:rPr>
          <w:sz w:val="24"/>
          <w:szCs w:val="24"/>
          <w:color w:val="auto"/>
        </w:rPr>
      </w:pPr>
    </w:p>
    <w:p>
      <w:pPr>
        <w:ind w:right="23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As of May 1, 2020, there were 74,549,048 outstanding shares of the registrant’s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877570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OCUGEN,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220" w:type="dxa"/>
            <w:vAlign w:val="bottom"/>
            <w:gridSpan w:val="7"/>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I—FINANCIAL INFORMATION</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76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March 31, 2020 and December 31,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760" w:type="dxa"/>
            <w:vAlign w:val="bottom"/>
            <w:gridSpan w:val="5"/>
          </w:tcPr>
          <w:p>
            <w:pPr>
              <w:spacing w:after="0" w:line="19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and Comprehensive Loss for the three months ended March 31, 2020</w:t>
              </w:r>
            </w:hyperlink>
          </w:p>
        </w:tc>
        <w:tc>
          <w:tcPr>
            <w:tcW w:w="98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and 2019</w:t>
              </w:r>
            </w:hyperlink>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60" w:type="dxa"/>
            <w:vAlign w:val="bottom"/>
            <w:gridSpan w:val="5"/>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Stockholders’ Equity (Deficit) for the three months ended March 31, 2020 and</w:t>
              </w:r>
            </w:hyperlink>
          </w:p>
        </w:tc>
        <w:tc>
          <w:tcPr>
            <w:tcW w:w="980" w:type="dxa"/>
            <w:vAlign w:val="bottom"/>
            <w:vMerge w:val="restart"/>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2019</w:t>
              </w:r>
            </w:hyperlink>
          </w:p>
        </w:tc>
        <w:tc>
          <w:tcPr>
            <w:tcW w:w="300" w:type="dxa"/>
            <w:vAlign w:val="bottom"/>
            <w:tcBorders>
              <w:top w:val="single" w:sz="8" w:color="0000FF"/>
            </w:tcBorders>
          </w:tcPr>
          <w:p>
            <w:pPr>
              <w:spacing w:after="0"/>
              <w:rPr>
                <w:sz w:val="13"/>
                <w:szCs w:val="13"/>
                <w:color w:val="auto"/>
              </w:rPr>
            </w:pPr>
          </w:p>
        </w:tc>
        <w:tc>
          <w:tcPr>
            <w:tcW w:w="78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760" w:type="dxa"/>
            <w:vAlign w:val="bottom"/>
            <w:gridSpan w:val="5"/>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for the three months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760" w:type="dxa"/>
            <w:vAlign w:val="bottom"/>
            <w:gridSpan w:val="5"/>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2.</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3.</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6"/>
        </w:trPr>
        <w:tc>
          <w:tcPr>
            <w:tcW w:w="90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4.</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33"/>
        </w:trPr>
        <w:tc>
          <w:tcPr>
            <w:tcW w:w="10220" w:type="dxa"/>
            <w:vAlign w:val="bottom"/>
            <w:gridSpan w:val="7"/>
          </w:tcPr>
          <w:p>
            <w:pPr>
              <w:spacing w:after="0"/>
              <w:rPr>
                <w:rFonts w:ascii="Arial" w:cs="Arial" w:eastAsia="Arial" w:hAnsi="Arial"/>
                <w:sz w:val="18"/>
                <w:szCs w:val="18"/>
                <w:b w:val="1"/>
                <w:bCs w:val="1"/>
                <w:u w:val="single" w:color="auto"/>
                <w:color w:val="0000FF"/>
              </w:rPr>
            </w:pPr>
            <w:hyperlink w:anchor="page26">
              <w:r>
                <w:rPr>
                  <w:rFonts w:ascii="Arial" w:cs="Arial" w:eastAsia="Arial" w:hAnsi="Arial"/>
                  <w:sz w:val="18"/>
                  <w:szCs w:val="18"/>
                  <w:b w:val="1"/>
                  <w:bCs w:val="1"/>
                  <w:u w:val="single" w:color="auto"/>
                  <w:color w:val="0000FF"/>
                </w:rPr>
                <w:t>PART II—OTHER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1.</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1A.</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3.</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Defaults Upon Senior Securities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4.</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5.</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6.</w:t>
              </w:r>
            </w:hyperlink>
          </w:p>
        </w:tc>
        <w:tc>
          <w:tcPr>
            <w:tcW w:w="9320" w:type="dxa"/>
            <w:vAlign w:val="bottom"/>
            <w:gridSpan w:val="6"/>
          </w:tcPr>
          <w:p>
            <w:pPr>
              <w:ind w:left="1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Signatures</w:t>
              </w:r>
            </w:hyperlink>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Quarterly Report on Form 10-Q may contain forward-looking statements within the meaning of Section 27A of the Securities Act of 1933, as amended (the “Securities Act”), and Section 21E of the Securities Exchange Act of 1934, as amended (the “Exchange Act”), about Ocugen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Ocugen and its subsidiaries. We caution our stockholders and other readers not to place undue reliance on such statements.</w:t>
      </w:r>
    </w:p>
    <w:p>
      <w:pPr>
        <w:spacing w:after="0" w:line="1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You should read this report and the documents filed by the Company with the SEC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Ocugen continues to incur significant losses from operations and continues to incur net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Ocugen may encounter unforeseen expenses, difficulties, complications, delays and other known and unknown factors;</w:t>
      </w:r>
    </w:p>
    <w:p>
      <w:pPr>
        <w:spacing w:after="0" w:line="63"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as a result of adjustments to or exercise of the Pre-Merger Financing Warrants, stockholders of the combined company could be substantially and materially diluted;</w:t>
      </w:r>
    </w:p>
    <w:p>
      <w:pPr>
        <w:spacing w:after="0" w:line="8" w:lineRule="exact"/>
        <w:rPr>
          <w:rFonts w:ascii="Arial" w:cs="Arial" w:eastAsia="Arial" w:hAnsi="Arial"/>
          <w:sz w:val="18"/>
          <w:szCs w:val="18"/>
          <w:color w:val="auto"/>
        </w:rPr>
      </w:pPr>
    </w:p>
    <w:p>
      <w:pPr>
        <w:ind w:left="660" w:right="68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health epidemics and other outbreaks of communicable diseases, including the recent outbreak of a novel strain of the coronavirus which causes a serious respiratory condition known as COVID-19 could disrupt Ocugen's business and operations;</w:t>
      </w:r>
    </w:p>
    <w:p>
      <w:pPr>
        <w:spacing w:after="0" w:line="1" w:lineRule="exact"/>
        <w:rPr>
          <w:rFonts w:ascii="Arial" w:cs="Arial" w:eastAsia="Arial" w:hAnsi="Arial"/>
          <w:sz w:val="16"/>
          <w:szCs w:val="16"/>
          <w:color w:val="auto"/>
        </w:rPr>
      </w:pPr>
    </w:p>
    <w:p>
      <w:pPr>
        <w:ind w:left="660" w:righ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uncertainties associated with the clinical development and regulatory approval of product candidates, including potential delays in the commencement, enrollment and completion of clinical trials;</w:t>
      </w:r>
    </w:p>
    <w:p>
      <w:pPr>
        <w:spacing w:after="0" w:line="8"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inability of the Company to obtain sufficient additional capital to continue to advance these product candidates and its preclinical programs;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product candidates and unexpected costs that may result therefrom;</w:t>
      </w:r>
    </w:p>
    <w:p>
      <w:pPr>
        <w:spacing w:after="0" w:line="63" w:lineRule="exact"/>
        <w:rPr>
          <w:rFonts w:ascii="Arial" w:cs="Arial" w:eastAsia="Arial" w:hAnsi="Arial"/>
          <w:sz w:val="18"/>
          <w:szCs w:val="18"/>
          <w:color w:val="auto"/>
        </w:rPr>
      </w:pPr>
    </w:p>
    <w:p>
      <w:pPr>
        <w:jc w:val="both"/>
        <w:ind w:left="660" w:right="8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failure to realize any value from product candidates and preclinical programs being developed and anticipated to be developed in light of inherent risks and difficulties involved in successfully bringing product candidates to market and the risk that products will not achieve broad market acceptance; and</w:t>
      </w:r>
    </w:p>
    <w:p>
      <w:pPr>
        <w:spacing w:after="0" w:line="2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other risk factors discussed under the heading “Risk Factors” contained in the Annual Report on Form 10-K filed with the SEC on March 27, 2020 (the "2019 Annual Report"), and in any other documents Ocugen files with the SEC.</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You should assume that the information appearing in this report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report are expressly qualified in their entirety by the risk factors and cautionary statements contained in this report. Unless legally required, we do not undertake any obligation to release publicly any revisions to such forward-looking statements to reflect events or circumstances after the date of this report or to reflect the occurrence of unanticipated events.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3,193,188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7,444,052</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1,169,297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1,322,167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37"/>
        </w:trPr>
        <w:tc>
          <w:tcPr>
            <w:tcW w:w="824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11,362,485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15,766,219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222,464</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151,100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151,016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551,163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667,747</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12,313,745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16,807,446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1,548,309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1,895,613</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1,383,658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2,270,045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172,310</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206,415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205,991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3,314,998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4,543,959</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obligation,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163,198</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Long term debt, net</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1,580,560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1,072,123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37"/>
        </w:trPr>
        <w:tc>
          <w:tcPr>
            <w:tcW w:w="8240" w:type="dxa"/>
            <w:vAlign w:val="bottom"/>
          </w:tcPr>
          <w:p>
            <w:pPr>
              <w:ind w:left="120"/>
              <w:spacing w:after="0"/>
              <w:rPr>
                <w:sz w:val="20"/>
                <w:szCs w:val="20"/>
                <w:color w:val="auto"/>
              </w:rPr>
            </w:pPr>
            <w:r>
              <w:rPr>
                <w:rFonts w:ascii="Arial" w:cs="Arial" w:eastAsia="Arial" w:hAnsi="Arial"/>
                <w:sz w:val="18"/>
                <w:szCs w:val="18"/>
                <w:color w:val="auto"/>
              </w:rPr>
              <w:t>Total non-current liabilities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1,701,642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1,245,076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5,016,640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5,789,035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w w:val="93"/>
              </w:rPr>
              <w:t>Convertible preferred stock, $0.01 par value, 10,000,000 shares authorized, seven issued and outstanding at</w:t>
            </w:r>
          </w:p>
        </w:tc>
        <w:tc>
          <w:tcPr>
            <w:tcW w:w="260" w:type="dxa"/>
            <w:vAlign w:val="bottom"/>
          </w:tcPr>
          <w:p>
            <w:pPr>
              <w:spacing w:after="0"/>
              <w:rPr>
                <w:sz w:val="15"/>
                <w:szCs w:val="15"/>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March 31, 2020 and December 31, 2019</w:t>
            </w:r>
          </w:p>
        </w:tc>
        <w:tc>
          <w:tcPr>
            <w:tcW w:w="2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Common stock, $0.01 par value, 200,000,000 authorized, 52,746,728 shares issued and 52,625,228 shares</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527,467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527,467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March 31, 2020 and December 31, 2019</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Treasury Stock, at cost, 121,500 shares at March 31, 2020 and December 31, 2019</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(47,864)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(47,864)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62,241,145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62,018,632</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(55,423,643)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(51,479,824)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7,297,105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11,018,411</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12,313,745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16,807,446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1,652,318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3,793,022</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2,276,784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1,048,020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3,929,102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4,841,042</w:t>
            </w:r>
          </w:p>
        </w:tc>
      </w:tr>
      <w:tr>
        <w:trPr>
          <w:trHeight w:val="27"/>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(3,929,102)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(4,841,042)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derivative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(776,273)</w:t>
            </w: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594</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(695,469)</w:t>
            </w: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(1,471,564)</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(3,943,819)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(6,312,606)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of common stock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 and diluted</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52,627,228</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4,960,552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64"/>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(3,943,819)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(6,312,888)</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60" w:type="dxa"/>
            <w:vAlign w:val="bottom"/>
            <w:gridSpan w:val="4"/>
            <w:vMerge w:val="restart"/>
          </w:tcPr>
          <w:p>
            <w:pPr>
              <w:jc w:val="right"/>
              <w:ind w:right="574"/>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3"/>
                <w:szCs w:val="13"/>
                <w:color w:val="auto"/>
              </w:rPr>
            </w:pPr>
          </w:p>
        </w:tc>
        <w:tc>
          <w:tcPr>
            <w:tcW w:w="22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1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0"/>
                <w:szCs w:val="10"/>
                <w:color w:val="auto"/>
              </w:rPr>
            </w:pPr>
          </w:p>
        </w:tc>
        <w:tc>
          <w:tcPr>
            <w:tcW w:w="12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12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Paid in 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Balance at December 31, 2019</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52,746,728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527,467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62,018,632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(51,479,824)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11,018,411</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expense</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222,513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222,513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(3,943,819)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(3,943,819)</w:t>
            </w:r>
          </w:p>
        </w:tc>
        <w:tc>
          <w:tcPr>
            <w:tcW w:w="0" w:type="dxa"/>
            <w:vAlign w:val="bottom"/>
          </w:tcPr>
          <w:p>
            <w:pPr>
              <w:spacing w:after="0"/>
              <w:rPr>
                <w:sz w:val="1"/>
                <w:szCs w:val="1"/>
                <w:color w:val="auto"/>
              </w:rPr>
            </w:pPr>
          </w:p>
        </w:tc>
      </w:tr>
      <w:tr>
        <w:trPr>
          <w:trHeight w:val="236"/>
        </w:trPr>
        <w:tc>
          <w:tcPr>
            <w:tcW w:w="230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1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52,746,728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527,467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(47,864)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62,241,145</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w w:val="97"/>
              </w:rPr>
              <w:t>(55,423,643)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7,297,105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240" w:type="dxa"/>
            <w:vAlign w:val="bottom"/>
            <w:gridSpan w:val="4"/>
            <w:vMerge w:val="restart"/>
          </w:tcPr>
          <w:p>
            <w:pPr>
              <w:jc w:val="right"/>
              <w:ind w:right="55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3"/>
                <w:szCs w:val="13"/>
                <w:color w:val="auto"/>
              </w:rPr>
            </w:pPr>
          </w:p>
        </w:tc>
        <w:tc>
          <w:tcPr>
            <w:tcW w:w="22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0"/>
                <w:szCs w:val="10"/>
                <w:color w:val="auto"/>
              </w:rPr>
            </w:pPr>
          </w:p>
        </w:tc>
        <w:tc>
          <w:tcPr>
            <w:tcW w:w="12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12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1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Paid in 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Balance at December 31, 2018</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4,960,552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18,477,598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7"/>
              </w:rPr>
              <w:t>(31,237,194)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(12,709,539)</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415,202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415,202</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(6,312,606)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(6,312,606)</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4,960,552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49,606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18,892,800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7"/>
              </w:rPr>
              <w:t>(37,549,800)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(18,607,225)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23495</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(3,943,819)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(6,312,606)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18,283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14,604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695,469</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47,696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776,273</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222,513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415,202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227,870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49,555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(1,225,853)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1,723,507</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Lease obligations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(102,488)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(4,686,423)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(2,667,211)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Financing lease principal payments</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(85,233)</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issuance of debt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1,450,000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488,296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1,358,803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Effect of changes in exchange rate on cash</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(4,250,780)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(1,319,271)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7,595,068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1,778,613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3,344,288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459,342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 related to operating leases (Note 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427,751</w:t>
            </w: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Ocugen, Inc. (formerly known as Histogenics Corporation), together with its wholly owned subsidiaries (“Ocugen” or the “Company”), is a clinical-stage biopharmaceutical company focused on discovering, developing and commercializing transformative therapies to treat the whole eye. The Company is located in Malvern, Pennsylvania, and manages its business as one operating segment.</w:t>
      </w:r>
    </w:p>
    <w:p>
      <w:pPr>
        <w:spacing w:after="0" w:line="184"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Ocugen is developing OCU300, which is a small molecule therapeutic currently in Phase 3 development for the treatment of symptoms associated with ocular graft-versus-host disease ("oGVHD"). OCU300 has received orphan drug designation ("ODD") from the U.S. Food and Drug Administration ("FDA"), and it is the first and only product candidate to receive that designation for the treatment of symptoms associated with oGVHD. oGVHD is a severe chronic autoimmune disease that can result in light sensitivity, excessive ocular redness, severe ocular pain and, ultimately, vision impairment. OCU300 is formulated using our proprietary nanoemulsion technology, OcuNanoE—Ocugen’s ONE Platform™.</w:t>
      </w:r>
    </w:p>
    <w:p>
      <w:pPr>
        <w:spacing w:after="0" w:line="16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Ocugen is also developing a modifier gene therapy platform to generate therapies designed to fulfill unmet medical needs in the area of retinal diseases, including inherited retinal diseases. Ocugen's modifier gene therapy platform is based on nuclear hormone receptors ("NHRs"), which have the potential to restore homeostasis, the basic biological processes in the retina. Unlike single-gene replacement therapies, which only target one genetic mutation, the Company believes that its gene therapy platform, through its use of NHRs, represents a novel approach in that it may address multiple retinal diseases with one product. Ocugen's first gene therapy candidate, OCU400, received two ODDs from the FDA, one for the treatment of nuclear receptor subfamily 2 group E member 3 ("</w:t>
      </w:r>
      <w:r>
        <w:rPr>
          <w:rFonts w:ascii="Arial" w:cs="Arial" w:eastAsia="Arial" w:hAnsi="Arial"/>
          <w:sz w:val="17"/>
          <w:szCs w:val="17"/>
          <w:i w:val="1"/>
          <w:iCs w:val="1"/>
          <w:color w:val="auto"/>
        </w:rPr>
        <w:t>NR2E3</w:t>
      </w:r>
      <w:r>
        <w:rPr>
          <w:rFonts w:ascii="Arial" w:cs="Arial" w:eastAsia="Arial" w:hAnsi="Arial"/>
          <w:sz w:val="17"/>
          <w:szCs w:val="17"/>
          <w:color w:val="auto"/>
        </w:rPr>
        <w:t>") mutation-associated retinal diseases and the other for the treatment of centrosomal protein 290 ("</w:t>
      </w:r>
      <w:r>
        <w:rPr>
          <w:rFonts w:ascii="Arial" w:cs="Arial" w:eastAsia="Arial" w:hAnsi="Arial"/>
          <w:sz w:val="17"/>
          <w:szCs w:val="17"/>
          <w:i w:val="1"/>
          <w:iCs w:val="1"/>
          <w:color w:val="auto"/>
        </w:rPr>
        <w:t>CEP290</w:t>
      </w:r>
      <w:r>
        <w:rPr>
          <w:rFonts w:ascii="Arial" w:cs="Arial" w:eastAsia="Arial" w:hAnsi="Arial"/>
          <w:sz w:val="17"/>
          <w:szCs w:val="17"/>
          <w:color w:val="auto"/>
        </w:rPr>
        <w:t>") mutation-associated retinal diseases. Ocugen is planning to initiate a Phase 1/2a clinical trial for OCU400 in 2021. Ocugen's second gene therapy candidate, OCU410, is being developed to utilize the nuclear receptor genes RAR-related orphan receptor A ("</w:t>
      </w:r>
      <w:r>
        <w:rPr>
          <w:rFonts w:ascii="Arial" w:cs="Arial" w:eastAsia="Arial" w:hAnsi="Arial"/>
          <w:sz w:val="17"/>
          <w:szCs w:val="17"/>
          <w:i w:val="1"/>
          <w:iCs w:val="1"/>
          <w:color w:val="auto"/>
        </w:rPr>
        <w:t>RORA</w:t>
      </w:r>
      <w:r>
        <w:rPr>
          <w:rFonts w:ascii="Arial" w:cs="Arial" w:eastAsia="Arial" w:hAnsi="Arial"/>
          <w:sz w:val="17"/>
          <w:szCs w:val="17"/>
          <w:color w:val="auto"/>
        </w:rPr>
        <w:t>") for the treatment of dry age-related macular degeneration ("AMD"). This candidate is currently in preclinical development.</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Ocugen is additionally in preclinical development for a novel biologic product candidate, OCU200. OCU200 is a novel fusion protein designed to treat diabetic macular edema ("DME"), diabetic retinopathy ("DR") and wet AMD. The Company expects to initiate a Phase 1/2a clinical trial for OCU200 in 2022, and plans to expand the therapeutic applications of OCU200 beyond DME, DR, and wet AMD to potentially include macular edema following retinal vein occlusion and myopic choroidal neovascularization.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Histogenics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27, 2019, the Company completed its reverse merger with Ocugen OpCo, Inc. (“OpCo”) in accordance with the terms of the Agreement and Plan of Merger and Reorganization, dated as of April 5, 2019, by and among Histogenics Corporation ("Histogenics"), OpCo and Restore Merger Sub, Inc., a wholly owned subsidiary of Histogenics (“Merger Sub”), as amended (the “Merger Agreement”), pursuant to which Merger Sub merged with and into OpCo, with OpCo surviving as a wholly owned subsidiary of Histogenics (the “Merger”). Immediately after completion of the Merger, Histogenics changed its name to Ocugen, Inc. and the business conducted by Ocugen, Inc. became the business conducted by OpCo. OpCo is deemed to be the accounting acquirer. Accordingly, the historical financial statements of OpCo became the Company’s historical financial statements, including the comparative prior periods. See Note 3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and immediately prior to the completion of the Merger, Histogenics effected a reverse stock split of the common stock, at a ratio of 1-for-60 (the ‘‘Reverse Stock Split’’). Under the terms of the Merger Agreement, the Company issued common stock to OpCo’s stockholders at an exchange rate of 0.4794 shares of common stock, after taking into account the Reverse Stock Split, for each share of OpCo’s common stock outstanding immediately prior to the Merger.</w:t>
      </w:r>
    </w:p>
    <w:p>
      <w:pPr>
        <w:spacing w:after="0" w:line="18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capital structure, including the number of shares of common stock issued appearing in the condensed consolidated balance sheets for the periods presented, reflects that of Ocugen. All references in the condensed consolidated financial statements to the number of shares and per-share amounts of common stock have been retroactively restated to reflect the exchange rate.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funded its operating losses through the sale of common stock, warrants to purchase common stock, the issuance of convertible notes, and debt. The Company incurred net losses of approximately $3.9 million and $6.3 million for the three months ended March 31, 2020 and 2019, respectively. As of March 31, 2020, the Company had an accumulated deficit of $55.4 million and cash, cash equivalents and restricted cash totaling $3.3 million.</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has a limited operating history and its prospects are subject to risks, expenses and uncertainties frequently encountered by companies in its industry. The Company intends to continue its research and development efforts for its product candidates, which will require significant funding. If the Company is unable to obtain additional financing in the future or research and development efforts require higher than anticipated capital, there may be a negative impact on the financial viability of the Company. The Company plans to increase working capital by raising additional capital through public and private placements of equity and/or debt, payments from potential strategic research and development arrangements, sale of assets, and licensing and/or collaboration arrangements with pharmaceutical companies or other institutions. Such financing may not be available at all, or on terms that are favorable to the Company. While management of the Company believes that it has a plan to fund ongoing operations, its plan may not be successfully implemented. Failure to generate sufficient cash flows from operations, raise additional capital through one or more financings, or appropriately manage certain discretionary spending could have a material adverse effect on the Company’s ability to achieve its intended business objectives.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these factors, together with the anticipated increase in spending that will be necessary to continue to develop the Company’s products, there is substantial doubt about the Company’s ability to continue as a going concern within one year after the date that these condensed consolidated financial statements are issued. The condensed consolidated financial statements do not contain any adjustments that might result from the resolution of any of the above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condensed consolidated financial statements included herein have been prepared in conformity with accounting principles generally accepted in the United States (“GAAP”) and under the rules and regulations of the United States Securities and Exchange Commission (“SEC”) for interim reporting. The accompanying unaudited condensed consolidated financial statements include all adjustments, consisting of normal recurring adjustments, that are necessary to present fairly the Company’s financial position, results of operations, and cash flows. The condensed consolidated results of operations are not necessarily indicative of the results that may occur for the full fiscal year. Certain information and footnote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2019, included in the Company's Annual Report on Form 10-K for the fiscal year ended December 31, 2019 (the "2019 Annual Report").</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condensed consolidated financial statements include the accounts of Ocugen, Inc. and its wholly owned subsidiaries. All intercompany balances and transactions have been eliminated in consolidation. Certain prior period amounts have been reclassified to conform with current period presentation.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preparing the condensed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inherent uncertainty involved in making estimates, actual results reported in future periods may be affected by changes in these estimates. On an ongoing basis, the Company evaluates its estimates and assumptions. These estimates and assumptions include those used in the estimation of clinical trial accruals and the valuation of share-based payment arrangements and embedded conversion features on the convertible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Held for Sale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asset is considered to be held for sale when all of the following criteria are met: (i) management commits to a plan to sell the asset; (ii) it is unlikely that the disposal plan will be significantly modified or discontinued; (iii) the asset is available for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immediate sale in its present condition; (iv) actions required to complete the sale of the asset have been initiated; (v) sale of the asset is probable and the completed sale is expected to occur within one year; and (vi) the asset is actively being marketed for sale at a price that is reasonable given its current market value.</w:t>
      </w:r>
    </w:p>
    <w:p>
      <w:pPr>
        <w:spacing w:after="0" w:line="18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 long-lived asset classified as held for sale is measured at the lower of its carrying amount or fair value less cost to sell. If the long-lived asset is newly acquired, the carrying amount of the long-lived asset is established based on its fair value less cost to sell at the acquisition date. A long-lived asset is not depreciated or amortized while it is classified as held for sale, and an impairment loss would be recognized to the extent the carrying amount exceeds the asset's fair value less cost to sell.</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March 31, 2020, Ocugen had an intangible asset held for sale acquired from Histogenics. The intangible asset qualified as held for sale as of the date of the reverse asset acquisition and is carried at its original fair value less cost to sell of $7.0 million. See Note 3 for additional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The company follows the provisions of the Financial Accounting Standards Board’s (“FASB”) Accounting Standards Codification (“ASC”) Topic 820, </w:t>
      </w: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(“ASC 820”), which defines fair value as used in numerous accounting pronouncements, establishes a framework for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expands disclosure of fair measurements.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carrying value of certain financial instruments, including cash and cash equivalents, accounts payable, and accrued expenses approximates their fair values due to the short-term nature of these instruments.</w:t>
      </w:r>
    </w:p>
    <w:p>
      <w:pPr>
        <w:spacing w:after="0" w:line="17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 quoted prices for similar assets and liabilities in active markets or inputs that are observable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that are unobservable (for example cash flow modeling inputs based on assumptions)</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derivative instruments that were fair valued on a recurring basis using Level 3 inputs during the three months ended March 31, 2019. There were no derivative instruments fair valued on a recurring basis using Level 3 inputs at March 31, 2020 or December 31, 2019. As of March 31, 2020, the Company estimates the fair value of the note issued to EB5 Life Sciences, L.P. under a loan agreement with the Company was $1.0 million. See Note 6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considers all highly liquid investments that have maturities of three months or less when acquired to be cash equivalents. Cash and cash equivalents include bank demand deposits, marketable securities with maturities of three months or less at purchase, and money market funds that invest primarily in certificates of deposit, commercial paper and United States government and United States government agency obligations. The Company’s restricted cash balance consists of cash held to collateralize a corporate credit card account.</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amount shown in the 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As of March 31,</w:t>
            </w:r>
          </w:p>
        </w:tc>
        <w:tc>
          <w:tcPr>
            <w:tcW w:w="1320" w:type="dxa"/>
            <w:vAlign w:val="bottom"/>
            <w:tcBorders>
              <w:bottom w:val="single" w:sz="8" w:color="auto"/>
            </w:tcBorders>
          </w:tcPr>
          <w:p>
            <w:pPr>
              <w:spacing w:after="0"/>
              <w:rPr>
                <w:sz w:val="16"/>
                <w:szCs w:val="16"/>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2019</w:t>
            </w: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reconciliation:</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7"/>
              <w:spacing w:after="0"/>
              <w:rPr>
                <w:sz w:val="20"/>
                <w:szCs w:val="20"/>
                <w:color w:val="auto"/>
              </w:rPr>
            </w:pPr>
            <w:r>
              <w:rPr>
                <w:rFonts w:ascii="Arial" w:cs="Arial" w:eastAsia="Arial" w:hAnsi="Arial"/>
                <w:sz w:val="18"/>
                <w:szCs w:val="18"/>
                <w:color w:val="auto"/>
              </w:rPr>
              <w:t>3,193,188</w:t>
            </w:r>
          </w:p>
        </w:tc>
        <w:tc>
          <w:tcPr>
            <w:tcW w:w="8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308,717</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151,100</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150,625</w:t>
            </w: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3,344,288</w:t>
            </w:r>
          </w:p>
        </w:tc>
        <w:tc>
          <w:tcPr>
            <w:tcW w:w="8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459,342</w:t>
            </w:r>
          </w:p>
        </w:tc>
      </w:tr>
      <w:tr>
        <w:trPr>
          <w:trHeight w:val="27"/>
        </w:trPr>
        <w:tc>
          <w:tcPr>
            <w:tcW w:w="7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Operating leases are included in other assets and lease obligations on the Company’s condensed consolidated balance sheets. Operating lease right-of-use assets and liabilities are recognized at commencement date based on the present value of lease payments over the lease term. Operating lease payments are recognized as lease expense on a straight-line basis over the lease term. The Company primarily leases real estate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incremental borrowing rate is used based on the information available at commencement date in determining the present value of lease payments.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Lease payments included in the measurement of the lease liability are comprised of fixed payments, variable payments that depend on index or rate, and amounts probable to be payable under the exercise of the Company option to purchase the underlying asset if reasonably certain.</w:t>
      </w:r>
    </w:p>
    <w:p>
      <w:pPr>
        <w:spacing w:after="0" w:line="14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Variable lease payments not dependent on a rate or index associated with the Company’s leases are recognized when the event, activity, or circumstance in the lease agreement on which those payments are assessed as probable. Variable lease payments include the Company's proportionate share of utilities and other operating expenses and are presented as operating expenses in the Company’s statements of operations in the same line item as expense arising from fixed lease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Ocugen accounts for its stock-based compensation awards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stock-based payments to employees, including grants of employee stock options and restricted stock units and modifications to existing agreements, to be recognized in the statements of operations based on their fair values. Ocugen uses the Black-Scholes option-pricing model to determine the fair value of options granted. Ocugen recognized forfeitures as they occur.</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Ocugen’s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Stock-based awards generally vest over a one to three year requisite service period and have a contractual term of 10 years.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Estimating the fair value of options requires the input of subjective assumptions, including expected life of the option, stock price volatility, the risk-free interest rate and expected dividends. The assumptions used in Ocugen’s Black-Scholes option-pricing model represent management’s best estimates and involve a number of variables, uncertainties and assumptions and the application of management’s judgment, as they are inherently subjective. If any assumptions change, Ocugen’s stock-based compensation expense could be materially different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This standard modifies certain disclosure requirements on fair value measurements and was effective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on January 1, 2020. The adoption of this standard did not have a material impact on the Company's disclosures.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FASB subsequently issued amendments to ASU 2016-13, which have the same effective date and transition date of January 1, 2023.</w:t>
      </w:r>
      <w:r>
        <w:rPr>
          <w:rFonts w:ascii="Arial" w:cs="Arial" w:eastAsia="Arial" w:hAnsi="Arial"/>
          <w:sz w:val="16"/>
          <w:szCs w:val="16"/>
          <w:i w:val="1"/>
          <w:iCs w:val="1"/>
          <w:color w:val="auto"/>
        </w:rPr>
        <w:t xml:space="preserve"> </w:t>
      </w:r>
      <w:r>
        <w:rPr>
          <w:rFonts w:ascii="Arial" w:cs="Arial" w:eastAsia="Arial" w:hAnsi="Arial"/>
          <w:sz w:val="16"/>
          <w:szCs w:val="16"/>
          <w:color w:val="auto"/>
        </w:rPr>
        <w:t>These standards require that credit losses be reported using an expected losses model rather than the incurred losses model that is currently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does not expect the adoption of these standards to have a material impact on its consolidated financial statements.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will have an effective date and transition date of January 1, 2021. This standard removes certain exceptions for recognizing deferred taxes for investments, performing intraperiod allocations and calculating income taxes in interim periods. This standard also adds guidance to reduce complexity in certain areas, including recognizing franchise tax, recognizing deferred taxes for tax goodwill, allocating taxes to the members of a consolidated group and recognizing the effect of enacted changes in tax laws or rates during an interim period. The Company does not expect the adoption of this standard to have a material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and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Pre-Merger Financing</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June 2019, OpCo and Histogenics entered into a Securities Purchase Agreement (as amended, the "Financing SPA") with certain accredited investors (the "Investors"). Pursuant to the Financing SPA, among other things, (i) immediately prior to the Merger, OpCo issued 2.2 million shares of common stock to the Investors, (ii) on October 4, 2019, the Company issued 2.2 million shares of the Company's common stock to the Investors and (iii) on October 4, 2019, the Company issued three series of warrants to purchase shares of the Company’s common stock (the “Series A Warrants,” the “Series B Warrants” and the “Series C Warrants” and collectively, the “Pre-Merger Financing Warrants”) in exchange for an aggregate purchase price of $25.0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Histogenics</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September 27, 2019, the Company completed the Merger in accordance with the terms of the Merger Agreement. The Merger was structured as a stock-for-stock transaction whereby all of OpCo’s outstanding shares of common stock and securities convertible into or exercisable for OpCo’s common stock were converted into the right to receive Histogenics’ common stock and securities convertible into or exercisable for Histogenics’ common stock.</w:t>
      </w:r>
    </w:p>
    <w:p>
      <w:pPr>
        <w:spacing w:after="0" w:line="1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while Histogenics is the legal acquirer, OpCo is the accounting acquirer due to the fact that (i) OpCo’s shareholders have the majority of the voting rights in Ocugen, (ii) OpCo holds all of the board seats of the combined company and (iii) OpCo management holds all key positions in the management of the combined company. The Company has further concluded that Histogenics did not meet the definition of a business under ASC 805 due to the fact that substantially all of the fair value of the gross assets disposed of is concentrated in a single identifiable asset or a group of similar identifiable assets. Therefore, the Merger was accounted for as a reverse asset acquisition.</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connection with the Merger, on May 8, 2019, Histogenics entered into an asset purchase agreement (the “Asset Purchase Agreement”) with Medavate Corp., a Colorado corporation (“Medavate”), pursuant to which Histogenics agreed to sell substantially all of its assets relating to its NeoCart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program, including, without limitation, intellectual property, business and license agreements and clinical trial data in return for a cash payment of $6.5 million. On September 26, 2019, the parties entered into an amendment to the Asset Purchase Agreement whereby the closing date was amended to October 4, 2019. On October 4, 2019, the parties entered into a second amendment (the “Second Amendment”) to the Asset Purchase Agreement whereby the purchase price was increased to $7.0 million under the Asset Purchase Agreement and the closing date of the Asset Purchase Agreement was revised from October 4,</w:t>
      </w:r>
    </w:p>
    <w:p>
      <w:pPr>
        <w:spacing w:after="0" w:line="2"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2019 to two business days after Medavate obtains financing in an amount no less than the purchase price (the “Closing Date”). The Second Amendment further provides that if the Closing Date does not occur on or prior to October 31, 2019, Ocugen may choose to terminate the Asset Purchase Agreement without recourse and, if Ocugen does not terminate the Asset Purchase Agreement, the purchase price shall increase 10% per month (or any portion</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thereof) between October 31, 2019 and the Closing Date. The Closing Date did not occur as of March 31, 2020. Ocugen has not terminated the Asset Purchase Agreement as of March 31, 2020.</w:t>
      </w:r>
    </w:p>
    <w:p>
      <w:pPr>
        <w:spacing w:after="0" w:line="170"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The NeoCart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asset qualified as held for sale as of the date of the reverse asset acquisition and is carried at its original fair value less cost to sell on the condensed consolidated balance sheets as of March 31, 2020 and December 31, 2019. The NeoCart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asset held for sale was valued at the acquisition date based on a quoted price of $7.0 million, which is an observable Level 2 fair value input. Any subsequent increases in fair value, if applicable, are not recognized beyond the initial value at the time the asset was classified as held for sale.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 2020 and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9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(3,943,819)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(6,312,606)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60" w:type="dxa"/>
            <w:vAlign w:val="bottom"/>
          </w:tcPr>
          <w:p>
            <w:pPr>
              <w:ind w:left="20"/>
              <w:spacing w:after="0"/>
              <w:rPr>
                <w:sz w:val="20"/>
                <w:szCs w:val="20"/>
                <w:color w:val="auto"/>
              </w:rPr>
            </w:pPr>
            <w:r>
              <w:rPr>
                <w:rFonts w:ascii="Arial" w:cs="Arial" w:eastAsia="Arial" w:hAnsi="Arial"/>
                <w:sz w:val="18"/>
                <w:szCs w:val="18"/>
                <w:color w:val="auto"/>
              </w:rPr>
              <w:t>Shares used in calculating net loss per common share—basic and diluted</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52,627,228</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4,960,552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 average shares outstanding, as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2,496,771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524,789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870,020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870,020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Warrants</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8,771,928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Series B Warrants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 Warrants</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3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97"/>
              </w:rPr>
              <w:t>12,140,719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1,394,809</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8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color w:val="auto"/>
              </w:rPr>
              <w:t>Accrued Expenses are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120,092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271,322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Clinical</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406,213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421,788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2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486,395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917,568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Employee-related</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369,499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624,420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1,459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34,947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1,383,658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2,270,045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EB-5 Loan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September 2016, pursuant to the U.S. government’s Immigrant Investor Program, commonly known as the EB-5 program (the “EB-5 Program”), the Company entered into an arrangement (the “EB-5 Loan Agreement”) to borrow up to $10.0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from EB5 Life Sciences, L.P. (the “Lender”) in $0.5 million increments. Borrowing may be limited by the amount of funds raised by the Lender and are subject to certain job creation requirements by the Company. Borrowings are at a fixed interest rate of 4.0% per annum and are to be utilized in the clinical development, manufacturing, and commercialization of the Company’s products and for the general working capital needs of the Company. Outstanding borrowings pursuant to the EB-5 Program, including accrued interest, become due upon the seventh anniversary of the final disbursement. Amounts repaid cannot be re-borrowed. The EB-5 Program borrowings are secured by substantially all assets of the Company, except for any patents, patent applications, pending patents, patent license, patent sublicense, trademarks, and other intellectual property rights.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Under the terms and conditions of the EB-5 Loan Agreement, the Company borrowed $1.0 million in 2016 and an additional $0.5 million on March 26, 2020. Issuance costs were recognized as a reduction to the loan balance and are amortized to interest expense over the term of the loan.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outstanding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1,000,000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Plus: accrued interest</w:t>
            </w:r>
          </w:p>
        </w:tc>
        <w:tc>
          <w:tcPr>
            <w:tcW w:w="320" w:type="dxa"/>
            <w:vAlign w:val="bottom"/>
          </w:tcPr>
          <w:p>
            <w:pPr>
              <w:spacing w:after="0"/>
              <w:rPr>
                <w:sz w:val="21"/>
                <w:szCs w:val="21"/>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138,222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127,777</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(55,654)</w:t>
            </w:r>
          </w:p>
        </w:tc>
      </w:tr>
      <w:tr>
        <w:trPr>
          <w:trHeight w:val="264"/>
        </w:trPr>
        <w:tc>
          <w:tcPr>
            <w:tcW w:w="7860" w:type="dxa"/>
            <w:vAlign w:val="bottom"/>
          </w:tcPr>
          <w:p>
            <w:pPr>
              <w:ind w:left="20"/>
              <w:spacing w:after="0"/>
              <w:rPr>
                <w:sz w:val="20"/>
                <w:szCs w:val="20"/>
                <w:color w:val="auto"/>
              </w:rPr>
            </w:pPr>
            <w:r>
              <w:rPr>
                <w:rFonts w:ascii="Arial" w:cs="Arial" w:eastAsia="Arial" w:hAnsi="Arial"/>
                <w:sz w:val="18"/>
                <w:szCs w:val="18"/>
                <w:color w:val="auto"/>
              </w:rPr>
              <w:t>Carrying value of debt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1,580,560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1,072,123</w:t>
            </w: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years ended December 31, 2019 and 2018, the Company issued convertible notes (the “Notes”) to new and existing stockholders in the Company, including Notes in the aggregate principal amount of $3.5 million to members of the Board of Directors. As of December 31, 2019, all Notes had been converted and were no longer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issuance, the following amounts were recorded: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Note</w:t>
            </w: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of Embedded</w:t>
            </w:r>
          </w:p>
        </w:tc>
        <w:tc>
          <w:tcPr>
            <w:tcW w:w="3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4"/>
                <w:szCs w:val="14"/>
                <w:color w:val="auto"/>
              </w:rPr>
            </w:pP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Note Issuance Date</w:t>
            </w:r>
          </w:p>
        </w:tc>
        <w:tc>
          <w:tcPr>
            <w:tcW w:w="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7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Issuance</w:t>
            </w: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Derivatives</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1"/>
              </w:rPr>
              <w:t>Value upon Issuance</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(2,657,711)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2,306,320</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June 2018</w:t>
            </w:r>
          </w:p>
        </w:tc>
        <w:tc>
          <w:tcPr>
            <w:tcW w:w="32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(724,216)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272,784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2018</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1,150,400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1,078,627</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December 2018</w:t>
            </w:r>
          </w:p>
        </w:tc>
        <w:tc>
          <w:tcPr>
            <w:tcW w:w="32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(14,310)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132,833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2019</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(182,882)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237,760</w:t>
            </w: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February 2019</w:t>
            </w:r>
          </w:p>
        </w:tc>
        <w:tc>
          <w:tcPr>
            <w:tcW w:w="32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(302,379)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(55,875)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641,746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8,750,400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(3,891,172)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(189,158)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4,670,070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Notes accrued interest at a rate of 5% per annum and had scheduled maturity dates on the eighteen month anniversary of the date of the issuance of the Notes (the “Maturity Date”). If prior to the Maturity Date, there was a consummation of the sale of all or substantially all of the assets of the Company, change in control or event of default, the Notes would become due and payable at an amount equal to 1.5 times the principal amount of the Notes together with all accrued interest (the “Change in Control Feature”).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Company received equity financing from the issuance of stock of the Company from an investor or group of investors in a transaction or series of related transactions above a certain amount of gross proceeds, the principal amount and all interest accrued but not paid through the closing date of the qualified equity financing was to automatically convert into the same class of equity securities as those issued in the qualified equity financing ("conversion feature"). The price per share varied among the Notes ranging from a 0% to 30% discount to the lowest price per share being paid by investors in the qualified equity financing.</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bifurcated the conversion feature for the January 2018, June 2018, January 2019, and February 2019 notes and classified it as a derivative liability because the conversion feature did not have a fixed conversion price and conversion would be settled in a variable number of shares of common stock. There was no bifurcated conversion feature for the November 2018 and December 2018 notes as there is no discount to the lowest equity price triggering conversion. The Company also bifurcated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Change in Control Feature for all of the Notes because it was determined to be a redemption feature not clearly and closely related to the debt host.</w:t>
      </w:r>
    </w:p>
    <w:p>
      <w:pPr>
        <w:spacing w:after="0" w:line="24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fair value of both of the embedded features was accounted for as a derivative liability and was recorded as a discount on the Notes. Inputs used in valuation were unobservable and therefore considered Level 3 in the fair value hierarchy. The debt discount is accreted into interest expense over the expected time until conversion of the Notes. The accretion amounted to $0.5 million for the three months ended March 31, 2019. There was no accretion during the three months ended March 31, 2020 as all Notes had been converted and were no longer outstanding as of December 31, 2019.</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fair value of the embedded features was classified as a liability in the Company’s condensed consolidated balance sheets at issuance, with subsequent changes in fair value recorded on the Company’s condensed consolidated statements of operations and comprehensive loss as a change in fair value of derivative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On April 5, 2019, OpCo entered into a Stock Subscription Agreement with existing investors for the sale of 0.1 million shares of common stock for</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$1.0 million, or $12.41 per share including the sale of 40,286 shares of common stock for $0.5 million to a member of the Board of Directors. This capital raise triggered the conversion features on the convertible debt described above. The Notes were modified to change the discount percentage from the 0% discount per the terms of the November 2018 and December 2018 Notes and the 15% discount per the terms of the January 2019 and February 2019 Notes to 30% at the time of conversion. The Company issued 1.1 million shares of common stock at $8.69 per share on the date of conversion to extinguish the debt, which resulted in a loss of $0.3 million. This non-cash conversion also resulted in an increase of $13.0 million in additional paid-in capital, which was based on the principal balance outstanding and the unpaid interest upon conversion.</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Subsequent to March 31, 2020, the Company issued promissory notes in connection with the Warrant Exchange (as defined in Note 10). See Note 10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Stock-based compensation expense for options granted is reflected in the condensed consolidated statements of operations and comprehensive loss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103,477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271,268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119,036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143,934</w:t>
            </w: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222,513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415,202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spacing w:after="0" w:line="288" w:lineRule="auto"/>
        <w:rPr>
          <w:sz w:val="20"/>
          <w:szCs w:val="20"/>
          <w:color w:val="auto"/>
        </w:rPr>
      </w:pPr>
      <w:r>
        <w:rPr>
          <w:rFonts w:ascii="Arial" w:cs="Arial" w:eastAsia="Arial" w:hAnsi="Arial"/>
          <w:sz w:val="18"/>
          <w:szCs w:val="18"/>
          <w:color w:val="auto"/>
        </w:rPr>
        <w:t>As of March 31, 2020, the Company had $1.4 million of unrecognized compensation expense related to options outstanding under its equity plans. This expense is expected to be recognized over a weighted average period of 2.1 years as of March 31, 2020</w:t>
      </w:r>
      <w:r>
        <w:rPr>
          <w:rFonts w:ascii="Arial" w:cs="Arial" w:eastAsia="Arial" w:hAnsi="Arial"/>
          <w:sz w:val="21"/>
          <w:szCs w:val="2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maintains two equity compensation plans, the 2014 Ocugen OpCo, Inc. Stock Option Plan (the “2014 Plan”) and the Ocugen, Inc. 2019 Equity Incentive Plan (the “2019 Plan”, collectively with the 2014 Plan, the "Plans"), which replaced the Histogenics Corporation 2013 Equity Incentive Plan (the "2013 Plan").</w:t>
      </w:r>
    </w:p>
    <w:p>
      <w:pPr>
        <w:spacing w:after="0" w:line="18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2019, Ocugen’s stockholders approved the adoption of the 2019 Plan and the 2013 Plan was frozen. No additional awards have been or will be made under the 2013 Plan and any remaining authorized shares under the 2013 Plan were recycled into the 2019 Plan. On the first business day of each fiscal year, pursuant to the "Evergreen" provision of the 2019 Plan, the aggregate number of shares that may be issued under the 2019 Plan will automatically increase by a number equal to the lesser of 4% of the total number of shares of Company common stock outstanding on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prior year, or a number of shares of Company common stock determined by the Board.</w:t>
      </w:r>
    </w:p>
    <w:p>
      <w:pPr>
        <w:spacing w:after="0" w:line="2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2020, the 2014 Plan provides for the granting of up to 0.8 million equity awards in respect to Ocugen's common stock. As of March 31, 2020, the 2019 Plan provides for the granting of up to 4.2 million equity awards in respect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Ocugen's common stock, inclusive of equity awards that were previously available for issuance under the 2013 Plan and the additional shares authorized for issuance pursuant to the 2019 Plan's "Evergreen" provision on January 1, 2020.</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2020, an aggregate of 0.6 million and 1.9 million shares of Company common stock were issuable upon the exercise of outstanding stock options under the 2014 Plan and 2019 Plan,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 (Years)</w:t>
            </w: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6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731,189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24,028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1,766,381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Options outstanding at March 31, 2020</w:t>
            </w:r>
          </w:p>
        </w:tc>
        <w:tc>
          <w:tcPr>
            <w:tcW w:w="16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2,496,771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March 31, 2020</w:t>
            </w: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416,464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stock options granted during the three months ended March 31, 2020 was $0.42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Company’s leases have initial lease terms ranging from one to five years. Certain lease agreements contain provisions for future rent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47,696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2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21,169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15,848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68,865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89,121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9"/>
                <w:szCs w:val="19"/>
                <w:color w:val="auto"/>
              </w:rPr>
            </w:pPr>
          </w:p>
        </w:tc>
        <w:tc>
          <w:tcPr>
            <w:tcW w:w="172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94"/>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302,990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344,574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176,616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172,310</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Non-current lease obligations</w:t>
            </w:r>
          </w:p>
        </w:tc>
        <w:tc>
          <w:tcPr>
            <w:tcW w:w="32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117,142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163,198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293,758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335,508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55"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23495</wp:posOffset>
            </wp:positionV>
            <wp:extent cx="2631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2019</w:t>
            </w:r>
          </w:p>
        </w:tc>
      </w:tr>
      <w:tr>
        <w:trPr>
          <w:trHeight w:val="250"/>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terms—operating leases (years)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66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7.6 %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operating minimum lease payments for all leases, exclusive of taxes and other carrying charges, are approximately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Amount</w:t>
            </w:r>
          </w:p>
        </w:tc>
      </w:tr>
      <w:tr>
        <w:trPr>
          <w:trHeight w:val="249"/>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144,169</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160,909</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11,354</w:t>
            </w:r>
          </w:p>
        </w:tc>
      </w:tr>
      <w:tr>
        <w:trPr>
          <w:trHeight w:val="237"/>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316,432</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present value adjustment</w:t>
            </w: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(22,674)</w:t>
            </w:r>
          </w:p>
        </w:tc>
      </w:tr>
      <w:tr>
        <w:trPr>
          <w:trHeight w:val="26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293,758</w:t>
            </w:r>
          </w:p>
        </w:tc>
      </w:tr>
      <w:tr>
        <w:trPr>
          <w:trHeight w:val="21"/>
        </w:trPr>
        <w:tc>
          <w:tcPr>
            <w:tcW w:w="9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Leases</w:t>
      </w:r>
    </w:p>
    <w:p>
      <w:pPr>
        <w:spacing w:after="0" w:line="225"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June 2018, the Company leased specialized research equipment under a lease classified as a financing lease. The leased equipment is included in property and equipment, net and is amortized on a straight-line basis over five years. Financing lease liabilities are included in other liabilities on the Company's condensed consolidated balance sheets. The interest rate related to the lease obligation is 7.6% and the maturity date is July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all financing leases, exclusive of taxes and other carrying charges, are approximately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23,856</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3,977</w:t>
            </w:r>
          </w:p>
        </w:tc>
      </w:tr>
      <w:tr>
        <w:trPr>
          <w:trHeight w:val="27"/>
        </w:trPr>
        <w:tc>
          <w:tcPr>
            <w:tcW w:w="9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27,833</w:t>
            </w: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Less: present value adjustment</w:t>
            </w:r>
          </w:p>
        </w:tc>
        <w:tc>
          <w:tcPr>
            <w:tcW w:w="4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(1,278)</w:t>
            </w:r>
          </w:p>
        </w:tc>
      </w:tr>
      <w:tr>
        <w:trPr>
          <w:trHeight w:val="27"/>
        </w:trPr>
        <w:tc>
          <w:tcPr>
            <w:tcW w:w="9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26,555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leases that have not yet commenced which are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September 27, 2019, Ocugen completed the Merger with OpCo. Immediately prior to the Merger, Ocugen and OpCo completed a previously announced private placement transaction with certain Investors pursuant to the Financing SPA, whereby, among other things, the Company agreed to issue Series A Warrants, Series B Warrants, and Series C Warrants.</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Pre-Merger Financing Warrants include a blocker that restricts the exercise of the Pre-Merger Financing Warrants if, as a result of such exercise, the holder, together with its affiliates would beneficially own in excess of 4.99% or 9.99% of the outstanding common stock, including the common shares issuable upon such exercise, as such percentage ownership is determined in accordance with the terms of the Pre-Merger Financing Warrants.</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Ocugen fails to issue to a holder of the Pre-Merger Financing Warrants the number of shares of common stock to which such holder is entitled upon such holder’s exercise of the such warrants, then Ocugen shall be obligated to pay the holder on each day while such failure is continuing an amount equal to</w:t>
      </w:r>
    </w:p>
    <w:p>
      <w:pPr>
        <w:ind w:right="160"/>
        <w:spacing w:after="0" w:line="253" w:lineRule="auto"/>
        <w:rPr>
          <w:sz w:val="20"/>
          <w:szCs w:val="20"/>
          <w:color w:val="auto"/>
        </w:rPr>
      </w:pPr>
      <w:r>
        <w:rPr>
          <w:rFonts w:ascii="Arial" w:cs="Arial" w:eastAsia="Arial" w:hAnsi="Arial"/>
          <w:sz w:val="18"/>
          <w:szCs w:val="18"/>
          <w:color w:val="auto"/>
        </w:rPr>
        <w:t>2.0% of the market value of the undelivered shares determined using any trading price of the common stock selected by the holder as in effect at any time during the period from delivery of the exercise notice until the applicable share delivery date, and if the holder purchases shares of common stock in connection with such failure, then Ocugen must, at the holder’s discretion, reimburse the holder for the cost of such shares or deliver the owed shares and reimburse the holder for the difference between the price such holder paid for such shares and the closing market price for shares of common stock on the date of exercise.</w:t>
      </w:r>
    </w:p>
    <w:p>
      <w:pPr>
        <w:spacing w:after="0" w:line="19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5, 2019, the Company entered into an agreement with each Investor that amends the terms of each of the Pre-Merger Financing Warrants held by each such Investor (collectively, the “Warrant Amendments”). The terms of the Pre-Merger Financing Warrants and the Warrant Amendments are discussed below. Subsequent to March 31, 2020, the Pre-Merger Financing Warrants were exchanged pursuant to an Amendment and Exchange Agreement. Following the consummation of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transactions described in Note 10, there were no Pre-Merger Financing Warrants outstanding. See Note 10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Warrants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Series A Warrants had an initial exercise price per share of $7.13, were exercisable upon issuance and have a term of 60 months from the date of issuance. The Series A Warrants are exercisable for up to 8.8 million shares of Ocugen common stock.</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Series A Warrants had an anti-dilution adjustment whereby if Ocugen issues or sells, enters into a definitive, binding agreement pursuant to which Ocugen is required to issue or sell or is deemed, pursuant to the provisions of the Series A Warrants, to have issued or sold, any common stock for a price per share lower than the exercise price then in effect (a “Dilutive Issuance”), subject to certain limited exceptions, then (i) the exercise price of the Series A Warrants shall be reduced to such lower price per share and (ii) the number of shares issuable upon exercise of the Series A Warrants shall be increased to the number of shares of common stock determined by multiplying (a) the exercise price in effect immediately prior to such Dilutive Issuance by (b) the number of shares of common stock issuable upon exercise of the Series A Warrants immediately prior to such Dilutive Issuance (without giving effect to any limitation on exercise contained therein), and dividing the product thereof by the exercise price resulting from such Dilutive Issuance.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Series A Warrant was amended pursuant to the Warrant Amendments such that an equity financing involving a research or non-profit foundation or organization qualified under Section 501(c) of the Internal Revenue Code of 1986, as amended, in an amount of gross proceeds not to exceed $10.0 million and closing on or prior to May 31, 2020, will be excluded from the anti-dilution adjustment, as set forth in the Series A Warrant. All of the Series A Warrants were outstanding and exercisable as of March 31, 2020 and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Warrants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Series B Warrants had an exercise price of $0.01, were exercisable after the completion of a 10 trading-day period following the effectiveness of a registration statement covering the resale of common stock into which such warrants were exercisable and were to expire on the date on which the Series B Warrants have been exercised in full (without giving effect to any limitation on exercise contained therein) and no shares remain issuable thereunder. The Series B Warrants were initially exercisable by a holder for 8.0 million shares of common stock.</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Additionally, each Series B Warrant included a Reset Period pursuant to which the number of shares issuable upon exercise of the Series B Warrants shall be increased during certain Reset Periods (as defined in the Series B Warrants) pursuant to a formula based on the greater of (i) 80% of the arithmetic average of the two lowest dollar volume-weighted average prices of a share of Ocugen common stock on the NASDAQ Capital Market ("Nasdaq") during the applicable Reset Period immediately preceding the applicable Reset Date to date and (ii) $1.00 (the “Reset Price”). The Reset Period commenced on November 20, 2019. As the dollar volume-weighted average prices of Ocugen’s common stock on Nasdaq was under $1.00 for the first two trading days of the Reset Period, the Investors elected to advance the end of the Reset Period to November 21, 2019 and the number of shares issuable upon exercise of the Series B Warrants was increased based on a Reset Price of $1.00. This reset resulted in an aggregate of 12.6 million additional shares of common stock becoming issuable upon exercise of the Series B Warrants. There were 1,000 Series B Warrants outstanding at March 31, 2020 and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Warrants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Series C Warrants were exercisable upon issuance for up to 50.0 million shares of common stock at an initial exercise price of $7.13 per share. Each of the Series C Warrants was amended pursuant to the Warrant Amendments to permit the Investors, in lieu of making any cash payment otherwise contemplated to be made to the Company upon the exercise of the Series C Warrant, to elect instead to receive upon such exercise up to 20.0 million shares of common stock. Prior to the Warrant Amendments, the Series C Warrants had permitted the exercise without any cash payment of up to 50.0 million shares of common stock in the event that the volume weighted-average price of the common stock on Nasdaq was less than or equal to $1.20 per share on any five trading days following the issuance of the Series C Warrants. There were 1,000 Series C Warrants outstanding at March 31, 2020 and December 31,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Warrants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Prior to 2018, OpCo issued warrants to investors of the Company pursuant to a stockholders' agreement and to two employees of the Company pursuant to their respective employment agreements. As of March 31, 2020 and December 31, 2019,</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0.9 million warrants to purchase common stock were outstanding and exercisable and had a weighted average exercise price of $5.67 per share. The warrants expire between 2025 and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April 22, 2020, the Company effected a private placement of common stock pursuant to Regulation D under the Securities Act of 1933 at a price per share of $0.395 (the "Private Placement"). The Private Placement constituted a Dilutive Issuance (as defined within Note 9) and resulted in adjustments to the number of issuable Series A Warrants and the exercise price under the Series A Warrants.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Contemporaneously with the Private Placement, the Company and OpCo entered into an Amendment and Exchange Agreement (each an "Exchange Agreement" and collectively, the "Exchange Agreements") with the Investors (as defined within Note 3). Pursuant to the Exchange Agreements, the Company, OpCo and the Investors agreed, among other things, that after giving effect to the Dilutive Issuance and an adjustment to the number of common stock issuable upon the exercise of the Series A Warrants, the outstanding Series A Warrants became exercisable for an aggregate of 48.1 million shares of common stock at an exercise price of $0.395 per share. The Investors exchanged the Series A Warrants for (i) an aggregate of 21.9 million shares of common stock and (ii) the April 2020 Notes as defined below (collectively the "Warrant Exchange"). Concurrently with the Warrant Exchange, an investor holding the remaining Series B Warrants and Series C Warrants exercised such warrants in full.</w:t>
      </w:r>
    </w:p>
    <w:p>
      <w:pPr>
        <w:spacing w:after="0" w:line="17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Warrant Exchange, on April 22, 2020, the Company issued promissory notes (the "April 2020 Notes") with an aggregate principal amount of $5.6 million to existing investors. The April 2020 Notes have a maturity date of April 21, 2021 and do not bear interest. The Company may prepay the April 2020 Notes in whole or in part at any time without penalty or premium. In the event that the Company consummates a financing transaction that generates cash to the Company, the Company is required to use 20% of the net proceeds of such transaction to redeem the outstanding amount under each April 2020 Note if the transaction occurs on or prior to August 22, 2020, and 30% of the net proceeds if that transaction occurs after August 22,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On April 30, 2020, the Company was granted a loan (the “Loan”) from Silicon Valley Bank (the "Lender"), in the aggregate amount of $0.4 million, pursuant to the Paycheck Protection Program (the “PPP”) of the Coronavirus Aid, Relief and Economic Security Act of 2020 (the “CARES Act”).</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Loan was in the form of a promissory note dated April 30, 2020 in favor of the Lender (the "Note"). The Note matures on April 30, 2022 and bears interest at a rate of 1.0% per annum, payable monthly commencing on November 30, 2020. The Note may be prepaid by the Company at any time prior to maturity with no prepayment penalties. The Company did not provide any collateral or guarantees for the Loan, nor did the Company pay any facility charge to obtain the Loan. The Note provides for customary events of default, including, among others, failure to make payment, bankruptcy, breaches of representations and material adverse events. Under the terms of the PPP, certain amounts of the Loan may be forgiven if they are used for qualifying expenses as described in the CARES Act.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for the year ended December 31, 2019, included in our Annual Report on Form 10-K filed with the SEC on March 27, 2020 (the "2019 Annual Report").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Annual Report and the “Disclosure Regarding Forward-Looking Statements”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 clinical-stage biopharmaceutical company focused on discovering, developing and commercializing transformative therapies to treat the whole eye.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focused on the development of three waves of technological innovations that target the front and back of the eye: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Potential therapy that targets the front of the eye:</w:t>
      </w:r>
    </w:p>
    <w:p>
      <w:pPr>
        <w:spacing w:after="0" w:line="221" w:lineRule="exact"/>
        <w:rPr>
          <w:sz w:val="20"/>
          <w:szCs w:val="20"/>
          <w:color w:val="auto"/>
        </w:rPr>
      </w:pPr>
    </w:p>
    <w:p>
      <w:pPr>
        <w:ind w:left="660" w:right="8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Small Molecule Phase 3 Rare Disease Asset</w:t>
      </w:r>
      <w:r>
        <w:rPr>
          <w:rFonts w:ascii="Arial" w:cs="Arial" w:eastAsia="Arial" w:hAnsi="Arial"/>
          <w:sz w:val="18"/>
          <w:szCs w:val="18"/>
          <w:color w:val="auto"/>
        </w:rPr>
        <w:t>—Our OCU300 product candidate is in Phase 3 clinical development for the treatment of symptoms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ocular graft-versus-host disease (“oGVHD”).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Potential therapies that target the back of the eye:</w:t>
      </w:r>
    </w:p>
    <w:p>
      <w:pPr>
        <w:spacing w:after="0" w:line="221" w:lineRule="exact"/>
        <w:rPr>
          <w:sz w:val="20"/>
          <w:szCs w:val="20"/>
          <w:color w:val="auto"/>
        </w:rPr>
      </w:pPr>
    </w:p>
    <w:p>
      <w:pPr>
        <w:ind w:left="660" w:right="260" w:hanging="328"/>
        <w:spacing w:after="0" w:line="282"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Modifier Gene Therapy Platform</w:t>
      </w:r>
      <w:r>
        <w:rPr>
          <w:rFonts w:ascii="Arial" w:cs="Arial" w:eastAsia="Arial" w:hAnsi="Arial"/>
          <w:sz w:val="18"/>
          <w:szCs w:val="18"/>
          <w:color w:val="auto"/>
        </w:rPr>
        <w:t>—Based on nuclear hormone receptors ("NHRs"), we believe our gene therapy platform has the potential to</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many retinal diseases including retinitis pigmentosa with one product.</w:t>
      </w:r>
    </w:p>
    <w:p>
      <w:pPr>
        <w:spacing w:after="0" w:line="161" w:lineRule="exact"/>
        <w:rPr>
          <w:rFonts w:ascii="Arial" w:cs="Arial" w:eastAsia="Arial" w:hAnsi="Arial"/>
          <w:sz w:val="18"/>
          <w:szCs w:val="18"/>
          <w:b w:val="1"/>
          <w:bCs w:val="1"/>
          <w:i w:val="1"/>
          <w:iCs w:val="1"/>
          <w:color w:val="auto"/>
        </w:rPr>
      </w:pPr>
    </w:p>
    <w:p>
      <w:pPr>
        <w:ind w:left="660" w:right="760" w:hanging="328"/>
        <w:spacing w:after="0" w:line="28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Novel Biologic Therapy for Retinal Diseases</w:t>
      </w:r>
      <w:r>
        <w:rPr>
          <w:rFonts w:ascii="Arial" w:cs="Arial" w:eastAsia="Arial" w:hAnsi="Arial"/>
          <w:sz w:val="18"/>
          <w:szCs w:val="18"/>
          <w:color w:val="auto"/>
        </w:rPr>
        <w:t>—We are developing OCU200, which is being developed to treat diabetic macular edema</w:t>
      </w:r>
      <w:r>
        <w:rPr>
          <w:rFonts w:ascii="Arial" w:cs="Arial" w:eastAsia="Arial" w:hAnsi="Arial"/>
          <w:sz w:val="18"/>
          <w:szCs w:val="18"/>
          <w:b w:val="1"/>
          <w:bCs w:val="1"/>
          <w:color w:val="auto"/>
        </w:rPr>
        <w:t xml:space="preserve"> </w:t>
      </w:r>
      <w:r>
        <w:rPr>
          <w:rFonts w:ascii="Arial" w:cs="Arial" w:eastAsia="Arial" w:hAnsi="Arial"/>
          <w:sz w:val="18"/>
          <w:szCs w:val="18"/>
          <w:color w:val="auto"/>
        </w:rPr>
        <w:t>(“DME”), diabetic retinopathy (“DR”) and wet age-related macular degeneration (“AMD”).</w:t>
      </w:r>
    </w:p>
    <w:p>
      <w:pPr>
        <w:spacing w:after="0" w:line="16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are developing OCU300, which is a small molecule therapeutic currently in Phase 3 development for the treatment of symptoms associated with oGVHD. In May 2020, we completed 100% of our planned enrollment of our Phase 3 clinical trial for OCU300. OCU300 has received orphan drug designation ("ODD") from the U.S. Food and Drug Administration ("FDA"), and it is the first and only product candidate to receive that designation for the treatment of symptoms associated with oGVHD. oGVHD, a severe chronic autoimmune disease that occurs in up to 60% of patients receiving hematopoietic stem cell transplantation (“HSCT”) from donors, referred to as allogeneic HSCT, can result in light sensitivity, excessive ocular redness, severe ocular pain and, ultimately, vision impairment. We estimate the current prevalence of patients suffering from oGVHD in the United States to be approximately 63,000. OCU300 is formulated using our proprietary nanoemulsion technology, OcuNanoE—Ocugen’s ONE Platform™ (“OcuNanoE™”), which we believe represents an effective drug delivery mechanism to treat ocular surface disorders. We believe that OcuNanoE™ provides additional protection to the ocular surface and the potential for enhanced efficacy compared to traditional formulations. OcuNanoE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nanoemulsion was developed to decrease the drainage rate, prolong precorneal residence time and increase the drug concentration in the lacrimal gland, which is critical for tear film production. We are the first and only company to use nanoemulsion technology in the ophthalmology space.</w:t>
      </w:r>
    </w:p>
    <w:p>
      <w:pPr>
        <w:spacing w:after="0" w:line="19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also developing a modifier gene therapy platform to generate therapies designed to fulfill unmet medical needs in the area of retinal diseases, including inherited retinal diseases. Our modifier gene therapy platform is based on NHRs, which have the potential to restore homeostasis, the basic biological processes in the retina. Unlike single-gene replacement therapies, which only target one genetic mutation, we believe that our gene therapy platform, through its use of NHRs, represents a novel approach in that it may address multiple retinal diseases with one product. Our first gene therapy candidate, OCU400, received two ODDs from the FDA, one for the treatment of nuclear receptor subfamily 2 group E member 3 ("</w:t>
      </w:r>
      <w:r>
        <w:rPr>
          <w:rFonts w:ascii="Arial" w:cs="Arial" w:eastAsia="Arial" w:hAnsi="Arial"/>
          <w:sz w:val="16"/>
          <w:szCs w:val="16"/>
          <w:i w:val="1"/>
          <w:iCs w:val="1"/>
          <w:color w:val="auto"/>
        </w:rPr>
        <w:t>NR2E3</w:t>
      </w:r>
      <w:r>
        <w:rPr>
          <w:rFonts w:ascii="Arial" w:cs="Arial" w:eastAsia="Arial" w:hAnsi="Arial"/>
          <w:sz w:val="16"/>
          <w:szCs w:val="16"/>
          <w:color w:val="auto"/>
        </w:rPr>
        <w:t>") mutation-associated retinal diseases and the other for the treatment of centrosomal protein 290 ("</w:t>
      </w:r>
      <w:r>
        <w:rPr>
          <w:rFonts w:ascii="Arial" w:cs="Arial" w:eastAsia="Arial" w:hAnsi="Arial"/>
          <w:sz w:val="16"/>
          <w:szCs w:val="16"/>
          <w:i w:val="1"/>
          <w:iCs w:val="1"/>
          <w:color w:val="auto"/>
        </w:rPr>
        <w:t>CEP290</w:t>
      </w:r>
      <w:r>
        <w:rPr>
          <w:rFonts w:ascii="Arial" w:cs="Arial" w:eastAsia="Arial" w:hAnsi="Arial"/>
          <w:sz w:val="16"/>
          <w:szCs w:val="16"/>
          <w:color w:val="auto"/>
        </w:rPr>
        <w:t>") mutation-associated retinal diseases. We are planning to initiate a Phase 1/2a clinical trial for OCU400 in 2021. Our second gene therapy candidate, OCU410, is being developed to utilize the nuclear receptor genes RAR-related orphan receptor A ("</w:t>
      </w:r>
      <w:r>
        <w:rPr>
          <w:rFonts w:ascii="Arial" w:cs="Arial" w:eastAsia="Arial" w:hAnsi="Arial"/>
          <w:sz w:val="16"/>
          <w:szCs w:val="16"/>
          <w:i w:val="1"/>
          <w:iCs w:val="1"/>
          <w:color w:val="auto"/>
        </w:rPr>
        <w:t>RORA</w:t>
      </w:r>
      <w:r>
        <w:rPr>
          <w:rFonts w:ascii="Arial" w:cs="Arial" w:eastAsia="Arial" w:hAnsi="Arial"/>
          <w:sz w:val="16"/>
          <w:szCs w:val="16"/>
          <w:color w:val="auto"/>
        </w:rPr>
        <w:t>") for the treatment of dry AMD. This candidate is currently in preclinical development.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additionally in preclinical development for a novel biologic product candidate, OCU200. OCU200 is a novel fusion protein designed to treat DME, DR and wet AMD. We expect to initiate a Phase 1/2a clinical trial for OCU200 in 2022. We plan to expand the therapeutic applications of OCU200 beyond DME, DR and wet AMD to potentially include macular edema following retinal vein occlusion and myopic choroidal neovascularization.</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were developing OCU310 for patients with dry eye disease, which is also formulated using OcuNanoE</w:t>
      </w:r>
      <w:r>
        <w:rPr>
          <w:rFonts w:ascii="Arial" w:cs="Arial" w:eastAsia="Arial" w:hAnsi="Arial"/>
          <w:sz w:val="23"/>
          <w:szCs w:val="23"/>
          <w:color w:val="auto"/>
          <w:vertAlign w:val="superscript"/>
        </w:rPr>
        <w:t>™</w:t>
      </w:r>
      <w:r>
        <w:rPr>
          <w:rFonts w:ascii="Arial" w:cs="Arial" w:eastAsia="Arial" w:hAnsi="Arial"/>
          <w:sz w:val="18"/>
          <w:szCs w:val="18"/>
          <w:color w:val="auto"/>
        </w:rPr>
        <w:t>. We have completed a Phase 3 clinical trial for OCU310 that was initiated in September 2018. Although the trial showed that OCU310 is safe and well-tolerated, it did not meet its co-primary endpoints for symptom and sign. We are no longer pursuing the development of this product candidate.</w:t>
      </w:r>
    </w:p>
    <w:p>
      <w:pPr>
        <w:spacing w:after="0" w:line="20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COVID-19 pandemic continues to evolve and we are closely monitoring the situation, including its potential impact on our clinical development plans and timelines. In response to the COVID-19 pandemic, we have implemented certain steps recommended by the FDA for the conduct of clinical trials during the pandemic, including providing for virtual visits and phone interviews, the self-administration of study medication and remote monitoring of our clinical trial subjects. We have additionally arranged for each patient's monthly supply of study medication to be delivered directly to patients. Each of our clinical trial sites participating in our OCU300 Phase 3 clinical trial have suspended the screening of new patients into the trial. At this time, our timelines for delivery of top-line results from our Phase 3 trial remain unchanged.</w:t>
      </w:r>
    </w:p>
    <w:p>
      <w:pPr>
        <w:spacing w:after="0" w:line="17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have no products approved for commercial sale and have not generated any revenue from product sales. We have never been profitable and have incurred operating losses in each year since inception. We incurred net losses of approximately $3.9 million and $6.3 million for the three months ended March 31, 2020 and 2019, respectively. As of March 31, 2020, we had an accumulated deficit of $55.4 million and a cash, cash equivalents and restricted cash balance of $3.3 million. Substantially all of our operating losses resulted from expenses incurred in connection with our research and development programs and from general and administrative costs associated with our operations.</w:t>
      </w:r>
    </w:p>
    <w:p>
      <w:pPr>
        <w:spacing w:after="0" w:line="1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date, we have viewed our operations and manage our business as one operating segment. As of March 31, 2020, all of our assets were located in the United States. Our headquarters and operations are located in Malvern, Pennsylvania.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Research and development costs are expensed as incurred. These costs consist of internal and external expenses. Internal expenses include the cost of salaries, benefits and other related costs, including stock-based compensation, for personnel serving in our research and development functions, as well as allocated rent and utilities expenses. External expenses include development, clinical trials, patent costs and regulatory compliance costs incurred with research organizations and other third-party vendors. License fees paid to acquire access to proprietary technology are expensed to research and development unless it is determined that the technology is expected to have an alternative future use. All patent-related costs incurred in connection with filing and prosecuting patent applications are expensed as incurred to research and development expense due to the uncertainty about the recovery of the expenditure. We record costs for certain development activities, such as clinical trials, based on our evaluation of the progress to completion of specific tasks using data such as patient enrollment, clinical site activations, or information provided to us by our vendors on their actual costs incurred. Payments for these activities are based on the terms of the individual arrangements, which may differ from the pattern of costs incurred, and are reflected in the condensed consolidated financial statements as prepaid or accrued research and development expense, as the case may be.</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anticipate that our research and development expenses will increase as compared to prior periods, particularly as we complete our Phase 3 trial with respect to OCU300 and prepare to commence Phase 1/2a trials with respect to OCU400, OCU410, and OCU200.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General and administrative expense consists primarily of personnel expenses, including salaries, benefits and stock-based compensation expense, for employees in executive, accounting and other administrative functions. General and administrative expense also includes corporate facility costs, including rent and utilities, as well as legal fees related to corporate matters and fees for accounting and other consulting services.</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as a result of higher corporate infrastructure costs including, but not limited to accounting, legal, human resources, consulting, and investor relations fees, as well as increased director and officer insurance premiums, associated with operating as a public company.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liabilities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Change in fair value of derivative liabilities includes the change in fair value each reporting period of the conversion and change in control features embedded in certain convertible notes, which were required to be bifurcated and recognized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primarily includes debt coupon interest, the amortization of debt issuance costs, and the accretion of the discount created by the bifurcation of embedded derivatives from convertible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condensed consolidated financial statements. Actual results could differ from those estimates. There were no material changes to our critical accounting policies and estimates as reported in our 2019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Ocugen’s operations for the three months ended March 31, 2020 and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(2,141)</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1,229</w:t>
            </w:r>
          </w:p>
        </w:tc>
      </w:tr>
      <w:tr>
        <w:trPr>
          <w:trHeight w:val="237"/>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(912)</w:t>
            </w: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912</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776</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681</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1,457</w:t>
            </w:r>
          </w:p>
        </w:tc>
      </w:tr>
      <w:tr>
        <w:trPr>
          <w:trHeight w:val="26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2,369</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 decreased by $2.1 million for the three months ended March 31, 2020 when compared to the three months ended March 31, 2019 primarily as a result of a decrease in program development and clinical trial activities of $2.2 million, partially offset by an increase of $0.1 million in other costs primarily related to an increase in intellectual property professional fees.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$2.2 million decrease in program development and clinical trial activities is primarily due to a $2.5 million decrease in OCU310 clinical and manufacturing activities, which is no longer in development. This decrease was offset by a $0.4 million increase in clinical activities related to our Phase 3 clinical trial of OCU300.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General and administrative expenses increased by $1.2 million, for the three months ended March 31, 2020 when compared to the three months ended March 31, 2019. The increase was primarily due to a $0.8 million increase in professional fees and a $0.3 million increase in insurance costs related to operating as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change in fair value of derivative liability was zero for the three months ended March 31, 2020 compared to a loss of $0.8 million due to a change in fair value of derivatives related to convertible debt instruments during the three months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Interest expense was a de minimis amount for the three months ended March 31, 2020 and $0.7 million for the three months ended March 31, 2019. The decrease in interest expense was primarily due to the April 2019 conversions of all previously-issued convertible debt.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of March 31, 2020, we had $3.3 million in cash, cash equivalents and restricted cash. We have not generated any revenue to date and have primarily funded our operations to date through the sale and issuance of common stock and warrants to purchase common stock, proceeds from convertible notes payable, and debt. Specifically, since our inception and through March 31, 2020, we have raised an aggregate of $51.6 million to fund our operations, of which $39.5 million was from the sale of our common stock and warrants, $10.3 million was from the issuance of convertible notes, $1.6 million was from borrowings under the EB-5 Program (defined below) inclusive of principal and accrued interest, and $0.2 million from grant proceeds.</w:t>
      </w:r>
    </w:p>
    <w:p>
      <w:pPr>
        <w:spacing w:after="0" w:line="16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(the “CARES Act”), a sweeping stimulus bill intended to bolster the U.S. economy, among other things, and provide emergency assistance to qualifying businesses and individuals. On April 30, 2020, we were granted a loan (the “Loan”) from Silicon Valley Bank, in the aggregate amount of $0.4 million, pursuant to the Paycheck Protection Program (the "PPP") of the CARES Act. The Loan was in the form of a promissory note which matures on April 30, 2022 and bears interest at a rate of 1.0% per annum, payable monthly commencing on November 30, 2020.</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Since our inception, we have devoted substantial resources to research and development and have incurred significant net losses and expect to continue to incur net losses for the foreseeable future. We incurred net losses of approximately $3.9 million and $6.3 million for the three months ended March 31, 2020 and 2019, respectively. As of March 31, 2020, we had an accumulated deficit of $55.4 million. In addition, as of March 31, 2020, we had accounts payable and accrued expenses of $2.9 million and indebtedness of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1,359</w:t>
            </w: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(1,319)</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Cash used in operating activities was $4.7 million for the three months ended March 31, 2020 compared with $2.7 million for the three months ended March 31, 2019. The increase in cash used in operating activities was primarily driven by a decrease in accounts payable and accrued expenses and a decrease in research and development expenses during 2020 as compared to 2019.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used in investing activities was $0.1 million for the three months ended March 31, 2020 compared with a de minimis amount for the three months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Cash provided by financing activities was $0.5 million for the three months ended March 31, 2020 compared to $1.4 million for the three months ended March 31, 2019. Cash provided by financing activities for the three months ended March 31, 2020 primarily relates to an additional borrowing under the EB-5 Program (defined below) on March 26, 2020. Cash provided by financing activities for the three months ended March 31, 2019 primarily relates to the issuance of convertible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September 2016, pursuant to the U.S. Government’s Immigrant Investor Program, commonly known as the EB-5 program (the “EB-5 Program”), we entered into an arrangement (the “EB-5 Loan Agreement”) to borrow up to $10.0 million from EB5 Life Sciences, L.P. (the "Lender") in $0.5 million increments. Borrowings are at a fixed interest rate of 4.0% and are to be utilized in the clinical development, manufacturing, and commercialization of our products and for our general working capital needs. Outstanding borrowings pursuant to the EB-5 Program become due upon the seventh anniversary of the final disbursement. Amounts repaid cannot be re-borrowed. Under the terms and conditions of the EB-5 Loan Agreement, the Company borrowed $0.5 million on March 26, 2020. At March 31, 2020, there was $1.5 million of principal outstanding under the EB-5 program.</w:t>
      </w:r>
    </w:p>
    <w:p>
      <w:pPr>
        <w:spacing w:after="0" w:line="16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April 22, 2020, we issued promissory notes (the "April 2020 Notes") with an aggregate principal amount of $5.6 million to existing investors in connection with an exchange of our Series A Warrants. The April 2020 Notes have a maturity date of April 21, 2021 and do not bear interest. We may prepay the April 2020 Notes in whole or in part at any time without penalty or premium. In the event that we consummate a financing transaction that generates cash to us, we are required to use 20% of the net proceeds of such transaction to redeem the outstanding under each April 2020 Note if the transaction occurs on or prior to August 22, 2020, and 30% of the net proceeds if the transaction occurs after August 22, 2020. As of May 1, 2020, there was $5.6 million of principal outstanding under the April 2020 Notes. For more information regarding the April 2020 Notes, see Note 10 to our condensed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expect to continue to incur significant expenses in connection with our ongoing activities, particularly as we continue research and development, including clinical development activities of our product candidates, increase our headcount and add operational, financial and information systems to execute our business plan, maintain, expand and protect our patent portfolio, contract to manufacture our product candidates and operate as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near- and long-term, will depend on many factors, including, but not limited to:</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6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timing and cost of the regulatory approval process for our product candidates by the FDA;</w:t>
      </w:r>
    </w:p>
    <w:p>
      <w:pPr>
        <w:spacing w:after="0" w:line="6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costs of manufacturing and commercialization;</w:t>
      </w:r>
    </w:p>
    <w:p>
      <w:pPr>
        <w:spacing w:after="0" w:line="6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6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w:t>
      </w:r>
    </w:p>
    <w:p>
      <w:pPr>
        <w:spacing w:after="0" w:line="63" w:lineRule="exact"/>
        <w:rPr>
          <w:rFonts w:ascii="Arial" w:cs="Arial" w:eastAsia="Arial" w:hAnsi="Arial"/>
          <w:sz w:val="18"/>
          <w:szCs w:val="18"/>
          <w:color w:val="auto"/>
        </w:rPr>
      </w:pPr>
    </w:p>
    <w:p>
      <w:pPr>
        <w:ind w:left="980" w:right="120" w:hanging="324"/>
        <w:spacing w:after="0" w:line="277" w:lineRule="auto"/>
        <w:tabs>
          <w:tab w:leader="none" w:pos="8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expanding infrastructure and increasing headcount, as well as the higher corporate infrastructure costs associated with operating as a public company;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in-license or acquire other products, product candidates or technologies.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March 31, 2020, we had $3.3 million in cash, cash equivalents and restricted cash. This amount is unlikely to meet our near-term capital requirements and will not meet our capital requirements over the next 12 months. Our management is currently evaluating different strategies to obtain the required funding for future operations. These strategies may include, but are not limited to: public and private placements of equity and/or debt, payments from potential strategic research and development, sale of assets, and licensing and/or collaboration arrangements with pharmaceutical companies or other institutions. There can be no assurance that these future funding efforts will be successful. If we cannot obtain the necessary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funding, we will need to delay, scale back or eliminate some or all of our research and development programs;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previously disclosed, on December 27, 2020, we received a deficiency letter from the NASDAQ Capital Market ("Nasdaq") due to the bid price of our common stock falling below the minimum bid price for continued listing under Nasdaq listing rules for 30 consecutive days. In response to the COVID-19 pandemic and related extraordinary market conditions, Nasdaq has tolled the compliance period for non-compliance with the minimum bid price listing requirement, effective April 16, 2020, until June 30, 2020 (the "Tolling Period"). Following the Tolling Period, we will have until September 8, 2020 to regain compliance with the applicable minimum bid price. We may regain compliance during or after the Tolling Period by maintaining a bid price of our common stock above $1.00 for ten consecutive business days. If we are unable to regain compliance with Nasdaq listing rules regarding the price of our common stock in a timely manner, our common stock may become subject to delisting and we may find it difficult or impracticable to raise additional funds through public equity offerings.</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result of these factors, together with the anticipated increase in spending that will be necessary to continue to develop our products, we have concluded that there is substantial doubt about our ability to continue as a going concern within one year after the date that the condensed consolidated financial statements included in this report are issued. See Note 1 to our condensed consolidated financial statements included in this report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have off-balance sheet arrangements during the periods presented, and we do not currently have any off-balance sheet arrangements as defined in the rules and regulations of the U.S. Securities and Exchange Commission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adopted accounting pronouncements, see Note 2 to our condensed consolidated financial statements included in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spacing w:after="0" w:line="287" w:lineRule="auto"/>
        <w:rPr>
          <w:sz w:val="20"/>
          <w:szCs w:val="20"/>
          <w:color w:val="auto"/>
        </w:rPr>
      </w:pPr>
      <w:r>
        <w:rPr>
          <w:rFonts w:ascii="Arial" w:cs="Arial" w:eastAsia="Arial" w:hAnsi="Arial"/>
          <w:sz w:val="16"/>
          <w:szCs w:val="16"/>
          <w:color w:val="auto"/>
        </w:rPr>
        <w:t>15d-15(e) under the Securities Exchange Act of 1934, as amended) (the “Exchange Act”), as of March 31, 2020.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To our knowledge, there are no threatened or pending legal actions that could reasonably be expected to have a material adverse effect on our business,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Except as set forth below, there have been no material changes in our risk factors as previously disclosed in our 2019 Annual Report. The risks described in our 2019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Financial Position and Capital Requirements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certain promissory notes outstanding, in the aggregate principal amount of approximately $5.6 million. If we are unable to pay the senior promissory notes when due, we will be in default.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22, 2020, we issued promissory notes in the aggregate principal amount of approximately $5.6 million. The April 2020 Notes are due on April 21, 2021. In the event we do not have the cash resources to pay the April 2020 Notes when due, such notes will be in default. Upon an event of default, interest shall accrue under each April 2020 Note at a rate of 18% per annum and each holder may require us to redeem all or any portion of the applicable April 2020 Note. Our ability to repay the April 2020 Notes upon maturity depends on our future performance and ability to raise additional sources of cash, which are subject to economic, financial, competitive and other factors beyond our control. If we are unable to generate sufficient cash to repay the April 2020 Notes upon maturity, we may be required to adopt one or more alternatives, such as restructuring our debt, selling assets or obtaining additional equity capital on terms that may be onerous or highly dilutive. If we desire to refinance the April 2020 Notes, our ability to do so will depend on the capital markets and our financial condition at such time. We may not be able to engage in any of these activities or engage in these activities on desirable terms, which could result in a default on the April 2020 Notes. As a result, our business, results of operations, financial condition and prospects could be negatively impacted.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and future indebtedness may limit cash flow available to invest in the ongoing needs of our business.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May 1, 2020, we had incurred indebtedness consisting of (i) April 2020 Notes in the aggregate principal amount of approximately $5.6 million, (ii) $0.4 million of outstanding principal borrowings from Silicon Valley Bank under the PPP of the CARES Act, which matures on April 30, 2022 and bears interest at a rate of 1% per annum, payable monthly commencing on November 30, 2020 and (iii) $1.5 million of outstanding principal borrowings under the EB-5 Loan Agreement, which we are required to repay on the seventh anniversary of the date of the last disbursement under the EB-5 Loan Agreement (unless terminated earlier pursuant to the terms of the EB-5 Loan Agreement). Our obligations under the EB-5 Loan Agreement are secured by substantially all of our assets other than our intellectual property. We could in the future incur additional indebtedness beyond the April 2020 Notes, the PPP Loan, and our borrowings under the EB-5 Loan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existing or future debt could have significant adverse consequences,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cash flow from operations or cash on hand to the payment of interest on, and principal of, our debt;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subjecting us to restrictive covenants that may reduce our ability to take certain corporate actions or obtain further debt or equity financing;</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better debt servicing options.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Pursuant to the terms of our outstanding April 2020 Notes, we are required to use a specified percentage of the net proceeds we receive from this offering and from other financing transactions we may enter into, subject to limited exceptions, to redeem the outstanding amount under the April 2020 Notes, until such notes are paid in full. The required percentage is 20% with respect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any financing transaction occurring on or prior to August 22, 2020, and after such date, the required percentage is 30%. Our failure to use the applicable percentage of net proceeds from any financing transaction would result in a default under the April 2020 Notes, which would result in default interest becoming payable and would entitle the holders of the April 2020 Notes to require us to redeem the April 2020 Notes in full. The requirement that we apply a percentage of the net proceeds from any financing transaction will reduce the amounts available to fund working capital, capital expenditures, product development efforts and other general corporate purposes.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a failure to comply with the covenants under the EB-5 Loan Agreement, including covenants to take or avoid specific actions as set forth above, could result in an event of default and acceleration of amounts due. If an event of default occurs and the Lender accelerates the amounts due under the EB-5 Loan Agreement, we may not be able to make accelerated payments, and the Lender could seek to enforce security interests in the collateral securing such indebtedness.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or a portion of the PPP Loan may be forgiven by the Small Business Administration (the "SBA") upon application by us beginning 60 days, but not later than 120 days, after loan approval and upon documentation of expenditures in accordance with the SBA’s requirements. No more than 25% of the amount forgiven can be attributable to non-payroll costs. We will be required to repay any portion of the outstanding principal that is not forgiven, along with accrued interest, in accordance with the amortization schedule described above, and we cannot provide any assurance that we will be eligible for loan forgiveness, that we will ultimately apply for forgiveness, or that any amount of the PPP Loan will ultimately be forgiven by the SBA. If we are unable to obtain forgiveness of all or any portion of the PPP Loan, our liquidity could be reduced and our business, financial condition and results of operations may be adversely affected.</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order to satisfy our current and future debt service obligations, we will be required to raise funds from external sources. We may be unable to arrange for additional financing to pay the amounts due under our existing debt. Funds from external sources may not be available on acceptable terms, if at all. Our failure to satisfy our current and future debt obligations could adversely affect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April 2020 Notes and the EB-5 Loan Agreement impose on us certain operating and financial restrictions. These covenants limit our ability and the ability of our subsidiaries, under certain circumstances, to, among other things: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or incur any mortgage, lien, pledge, security interest or other encumbrance upon our property or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redeem, repurchase, repay or make any payment in respect of other indebtedness, other than regularly scheduled interest payments;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redeem or repurchase any equity interests of the Company;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and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abandon any material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transfer assets;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April 2020 Notes and the EB-5 Loan Agreement also contain certain customary affirmative covenants and events of default.</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a result of the covenants and restrictions contained in our existing debt agreements, we are limited in how we conduct our business, and we may be unable to raise additional debt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our debt holders and/or amend the covenants.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the holders of such debt could proceed against that indebtedness and trigger a default. If we are forced to refinance these borrowings on less favorable terms or if we are unable to repay, refinance or restructure such indebtedness, our financial condition and results of operations could be adversely affected.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Equity Awards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May 5, 2020, the Company approved a grant of stock options to each of its executive officers, other than its Chief Executive Officer, under the 2019 Plan. The awards are intended to more closely align the level of executive ownership in the Company with that of peer companies.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additionally approved an equity award of options to purchase 261,080 shares of common stock to Sanjay Subramanian, the Company’s Chief Financial Officer, in recognition of his outstanding efforts.</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exercise price of the options is $0.34, which is equal to the closing price of the Company’s common stock on the grant date. The options vest annually over a three year requisite service period, subject to each executive officer’s continued employment with the Company on the applicable vesting dates. The table below sets forth the aggregate number of options granted to each officer: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Executive Officer</w:t>
            </w:r>
          </w:p>
        </w:tc>
        <w:tc>
          <w:tcPr>
            <w:tcW w:w="540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0"/>
              </w:rPr>
              <w:t>Position</w:t>
            </w:r>
          </w:p>
        </w:tc>
        <w:tc>
          <w:tcPr>
            <w:tcW w:w="29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Stock Options Granted</w:t>
            </w: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Sanjay Subramanian</w:t>
            </w:r>
          </w:p>
        </w:tc>
        <w:tc>
          <w:tcPr>
            <w:tcW w:w="5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Chief Financial Officer</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369,256</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Daniel Jorgensen</w:t>
            </w: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Chief Medical Officer</w:t>
            </w:r>
          </w:p>
        </w:tc>
        <w:tc>
          <w:tcPr>
            <w:tcW w:w="2940" w:type="dxa"/>
            <w:vAlign w:val="bottom"/>
          </w:tcPr>
          <w:p>
            <w:pPr>
              <w:jc w:val="center"/>
              <w:spacing w:after="0"/>
              <w:rPr>
                <w:sz w:val="20"/>
                <w:szCs w:val="20"/>
                <w:color w:val="auto"/>
              </w:rPr>
            </w:pPr>
            <w:r>
              <w:rPr>
                <w:rFonts w:ascii="Arial" w:cs="Arial" w:eastAsia="Arial" w:hAnsi="Arial"/>
                <w:sz w:val="18"/>
                <w:szCs w:val="18"/>
                <w:color w:val="auto"/>
                <w:w w:val="89"/>
              </w:rPr>
              <w:t>109,913</w:t>
            </w:r>
          </w:p>
        </w:tc>
      </w:tr>
      <w:tr>
        <w:trPr>
          <w:trHeight w:val="27"/>
        </w:trPr>
        <w:tc>
          <w:tcPr>
            <w:tcW w:w="29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Rasappa Arumugham</w:t>
            </w:r>
          </w:p>
        </w:tc>
        <w:tc>
          <w:tcPr>
            <w:tcW w:w="54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5"/>
              </w:rPr>
              <w:t>Chief Scientific Officer</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144,766</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Kelly Beck</w:t>
            </w:r>
          </w:p>
        </w:tc>
        <w:tc>
          <w:tcPr>
            <w:tcW w:w="5400" w:type="dxa"/>
            <w:vAlign w:val="bottom"/>
          </w:tcPr>
          <w:p>
            <w:pPr>
              <w:jc w:val="center"/>
              <w:spacing w:after="0"/>
              <w:rPr>
                <w:sz w:val="20"/>
                <w:szCs w:val="20"/>
                <w:color w:val="auto"/>
              </w:rPr>
            </w:pPr>
            <w:r>
              <w:rPr>
                <w:rFonts w:ascii="Arial" w:cs="Arial" w:eastAsia="Arial" w:hAnsi="Arial"/>
                <w:sz w:val="18"/>
                <w:szCs w:val="18"/>
                <w:color w:val="auto"/>
                <w:w w:val="92"/>
              </w:rPr>
              <w:t>Vice President, Investor Relations &amp; Administration</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31,916</w:t>
            </w:r>
          </w:p>
        </w:tc>
      </w:tr>
      <w:tr>
        <w:trPr>
          <w:trHeight w:val="27"/>
        </w:trPr>
        <w:tc>
          <w:tcPr>
            <w:tcW w:w="29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Vijay Tammara</w:t>
            </w:r>
          </w:p>
        </w:tc>
        <w:tc>
          <w:tcPr>
            <w:tcW w:w="54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1"/>
              </w:rPr>
              <w:t>Senior Vice President, Regulatory and Quality</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20,573</w:t>
            </w:r>
          </w:p>
        </w:tc>
      </w:tr>
      <w:tr>
        <w:trPr>
          <w:trHeight w:val="27"/>
        </w:trPr>
        <w:tc>
          <w:tcPr>
            <w:tcW w:w="2900" w:type="dxa"/>
            <w:vAlign w:val="bottom"/>
            <w:shd w:val="clear" w:color="auto" w:fill="CCEEFF"/>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7, 2020, the Company awarded Shankar Musunuri, its Chief Executive Officer, a stock option grant to purchase 1,357,145 shares of common stock under the 2019 Plan. The exercise price of the options is $0.33, which is equal to the closing price of the Company’s common stock on the grant date. The options vest annually over a three year requisite service period, subject to Dr. Musunuri’s continued employment with the Company on the applicable vesting date.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140" w:type="dxa"/>
            <w:vAlign w:val="bottom"/>
            <w:gridSpan w:val="9"/>
          </w:tcPr>
          <w:p>
            <w:pPr>
              <w:ind w:left="2960"/>
              <w:spacing w:after="0"/>
              <w:rPr>
                <w:sz w:val="20"/>
                <w:szCs w:val="20"/>
                <w:color w:val="auto"/>
              </w:rPr>
            </w:pPr>
            <w:r>
              <w:rPr>
                <w:rFonts w:ascii="Arial" w:cs="Arial" w:eastAsia="Arial" w:hAnsi="Arial"/>
                <w:sz w:val="14"/>
                <w:szCs w:val="14"/>
                <w:b w:val="1"/>
                <w:bCs w:val="1"/>
                <w:color w:val="auto"/>
              </w:rPr>
              <w:t>Description</w:t>
            </w:r>
          </w:p>
        </w:tc>
      </w:tr>
      <w:tr>
        <w:trPr>
          <w:trHeight w:val="229"/>
        </w:trPr>
        <w:tc>
          <w:tcPr>
            <w:tcW w:w="1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40" w:type="dxa"/>
            <w:vAlign w:val="bottom"/>
            <w:tcBorders>
              <w:top w:val="single" w:sz="8" w:color="auto"/>
            </w:tcBorders>
            <w:gridSpan w:val="11"/>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Amended and Restated Employment Agreement, dated as of January 1, 2020, by and between the Registrant and Shankar Musunuri</w:t>
              </w:r>
            </w:hyperlink>
          </w:p>
        </w:tc>
      </w:tr>
      <w:tr>
        <w:trPr>
          <w:trHeight w:val="155"/>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0"/>
          </w:tcPr>
          <w:p>
            <w:pPr>
              <w:spacing w:after="0" w:line="156"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(filed as Exhibit 10.1 to the Registrant's Current Report on Form 8-K as filed on January 3, 2020, and incorporated herein by</w:t>
              </w:r>
            </w:hyperlink>
          </w:p>
        </w:tc>
        <w:tc>
          <w:tcPr>
            <w:tcW w:w="14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45">
              <w:r>
                <w:rPr>
                  <w:rFonts w:ascii="Arial" w:cs="Arial" w:eastAsia="Arial" w:hAnsi="Arial"/>
                  <w:sz w:val="18"/>
                  <w:szCs w:val="18"/>
                  <w:color w:val="0000FF"/>
                  <w:w w:val="87"/>
                </w:rPr>
                <w:t>reference).</w:t>
              </w:r>
            </w:hyperlink>
          </w:p>
        </w:tc>
        <w:tc>
          <w:tcPr>
            <w:tcW w:w="8200" w:type="dxa"/>
            <w:vAlign w:val="bottom"/>
            <w:tcBorders>
              <w:top w:val="single" w:sz="8" w:color="0000FF"/>
            </w:tcBorders>
            <w:gridSpan w:val="5"/>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11"/>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Amended and Restated Employment Agreement, dated as of January 1, 2020, by and between the Registrant and Daniel Jorgensen</w:t>
              </w:r>
            </w:hyperlink>
          </w:p>
        </w:tc>
      </w:tr>
      <w:tr>
        <w:trPr>
          <w:trHeight w:val="155"/>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9"/>
          </w:tcPr>
          <w:p>
            <w:pPr>
              <w:spacing w:after="0" w:line="15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(filed as exhibit 10.2 to the Registrant's Current Report on Form 8-K as filed on January 3, 2020, and incorporated herein by</w:t>
              </w:r>
            </w:hyperlink>
          </w:p>
        </w:tc>
        <w:tc>
          <w:tcPr>
            <w:tcW w:w="220" w:type="dxa"/>
            <w:vAlign w:val="bottom"/>
            <w:gridSpan w:val="2"/>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46">
              <w:r>
                <w:rPr>
                  <w:rFonts w:ascii="Arial" w:cs="Arial" w:eastAsia="Arial" w:hAnsi="Arial"/>
                  <w:sz w:val="18"/>
                  <w:szCs w:val="18"/>
                  <w:color w:val="0000FF"/>
                  <w:w w:val="87"/>
                </w:rPr>
                <w:t>reference).</w:t>
              </w:r>
            </w:hyperlink>
          </w:p>
        </w:tc>
        <w:tc>
          <w:tcPr>
            <w:tcW w:w="8180" w:type="dxa"/>
            <w:vAlign w:val="bottom"/>
            <w:tcBorders>
              <w:top w:val="single" w:sz="8" w:color="0000FF"/>
            </w:tcBorders>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80" w:type="dxa"/>
            <w:vAlign w:val="bottom"/>
            <w:tcBorders>
              <w:bottom w:val="single" w:sz="8" w:color="0000FF"/>
            </w:tcBorders>
            <w:gridSpan w:val="3"/>
          </w:tcPr>
          <w:p>
            <w:pPr>
              <w:spacing w:after="0"/>
              <w:rPr>
                <w:rFonts w:ascii="Arial" w:cs="Arial" w:eastAsia="Arial" w:hAnsi="Arial"/>
                <w:sz w:val="18"/>
                <w:szCs w:val="18"/>
                <w:color w:val="0000FF"/>
                <w:w w:val="88"/>
              </w:rPr>
            </w:pPr>
            <w:hyperlink r:id="rId47">
              <w:r>
                <w:rPr>
                  <w:rFonts w:ascii="Arial" w:cs="Arial" w:eastAsia="Arial" w:hAnsi="Arial"/>
                  <w:sz w:val="18"/>
                  <w:szCs w:val="18"/>
                  <w:color w:val="0000FF"/>
                  <w:w w:val="88"/>
                </w:rPr>
                <w:t>Amended and Restated Employment Agreement, dated as of January 1, 2020, by and between the Registrant and Rasappa</w:t>
              </w:r>
            </w:hyperlink>
          </w:p>
        </w:tc>
        <w:tc>
          <w:tcPr>
            <w:tcW w:w="860" w:type="dxa"/>
            <w:vAlign w:val="bottom"/>
            <w:gridSpan w:val="8"/>
          </w:tcPr>
          <w:p>
            <w:pPr>
              <w:spacing w:after="0"/>
              <w:rPr>
                <w:sz w:val="22"/>
                <w:szCs w:val="22"/>
                <w:color w:val="auto"/>
              </w:rPr>
            </w:pPr>
          </w:p>
        </w:tc>
      </w:tr>
      <w:tr>
        <w:trPr>
          <w:trHeight w:val="156"/>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11"/>
          </w:tcPr>
          <w:p>
            <w:pPr>
              <w:spacing w:after="0" w:line="15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Arumugham (filed as exhibit 10.3 to the Registrant's Current Report on Form 8-K as filed on January 3, 2020, and incorporated</w:t>
              </w:r>
            </w:hyperlink>
          </w:p>
        </w:tc>
      </w:tr>
      <w:tr>
        <w:trPr>
          <w:trHeight w:val="155"/>
        </w:trPr>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herein by reference).</w:t>
              </w:r>
            </w:hyperlink>
          </w:p>
        </w:tc>
        <w:tc>
          <w:tcPr>
            <w:tcW w:w="7680" w:type="dxa"/>
            <w:vAlign w:val="bottom"/>
            <w:tcBorders>
              <w:top w:val="single" w:sz="8" w:color="0000FF"/>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r>
      <w:tr>
        <w:trPr>
          <w:trHeight w:val="263"/>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11"/>
          </w:tcPr>
          <w:p>
            <w:pPr>
              <w:spacing w:after="0"/>
              <w:rPr>
                <w:rFonts w:ascii="Arial" w:cs="Arial" w:eastAsia="Arial" w:hAnsi="Arial"/>
                <w:sz w:val="18"/>
                <w:szCs w:val="18"/>
                <w:color w:val="0000FF"/>
                <w:w w:val="92"/>
              </w:rPr>
            </w:pPr>
            <w:hyperlink w:anchor="page32">
              <w:r>
                <w:rPr>
                  <w:rFonts w:ascii="Arial" w:cs="Arial" w:eastAsia="Arial" w:hAnsi="Arial"/>
                  <w:sz w:val="18"/>
                  <w:szCs w:val="18"/>
                  <w:u w:val="single" w:color="auto"/>
                  <w:color w:val="0000FF"/>
                  <w:w w:val="92"/>
                </w:rPr>
                <w:t>Amended and Restated Employment Agreement, dated as of January 1, 2020, by and between the Registrant and Vijay</w:t>
              </w:r>
              <w:r>
                <w:rPr>
                  <w:rFonts w:ascii="Arial" w:cs="Arial" w:eastAsia="Arial" w:hAnsi="Arial"/>
                  <w:sz w:val="18"/>
                  <w:szCs w:val="18"/>
                  <w:color w:val="0000FF"/>
                  <w:w w:val="92"/>
                </w:rPr>
                <w:t xml:space="preserve"> Tam</w:t>
              </w:r>
            </w:hyperlink>
            <w:r>
              <w:rPr>
                <w:rFonts w:ascii="Arial" w:cs="Arial" w:eastAsia="Arial" w:hAnsi="Arial"/>
                <w:sz w:val="18"/>
                <w:szCs w:val="18"/>
                <w:color w:val="0000FF"/>
                <w:w w:val="92"/>
              </w:rPr>
              <w:t>mara.</w:t>
            </w: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920" w:type="dxa"/>
            <w:vAlign w:val="bottom"/>
            <w:gridSpan w:val="4"/>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358"/>
        </w:trPr>
        <w:tc>
          <w:tcPr>
            <w:tcW w:w="1300" w:type="dxa"/>
            <w:vAlign w:val="bottom"/>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1"/>
          </w:tcPr>
          <w:p>
            <w:pPr>
              <w:spacing w:after="0"/>
              <w:rPr>
                <w:rFonts w:ascii="Arial" w:cs="Arial" w:eastAsia="Arial" w:hAnsi="Arial"/>
                <w:sz w:val="18"/>
                <w:szCs w:val="18"/>
                <w:u w:val="single" w:color="auto"/>
                <w:color w:val="0000FF"/>
                <w:w w:val="95"/>
              </w:rPr>
            </w:pPr>
            <w:hyperlink w:anchor="page40">
              <w:r>
                <w:rPr>
                  <w:rFonts w:ascii="Arial" w:cs="Arial" w:eastAsia="Arial" w:hAnsi="Arial"/>
                  <w:sz w:val="18"/>
                  <w:szCs w:val="18"/>
                  <w:u w:val="single" w:color="auto"/>
                  <w:color w:val="0000FF"/>
                  <w:w w:val="95"/>
                </w:rPr>
                <w:t>Amended and Restated Employment Agreement, dated as of January 1, 2020, by and between the Registrant and Kelly Beck.</w:t>
              </w:r>
            </w:hyperlink>
          </w:p>
        </w:tc>
      </w:tr>
      <w:tr>
        <w:trPr>
          <w:trHeight w:val="324"/>
        </w:trPr>
        <w:tc>
          <w:tcPr>
            <w:tcW w:w="1300" w:type="dxa"/>
            <w:vAlign w:val="bottom"/>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1"/>
          </w:tcPr>
          <w:p>
            <w:pPr>
              <w:spacing w:after="0"/>
              <w:rPr>
                <w:rFonts w:ascii="Arial" w:cs="Arial" w:eastAsia="Arial" w:hAnsi="Arial"/>
                <w:sz w:val="18"/>
                <w:szCs w:val="18"/>
                <w:color w:val="0000FF"/>
                <w:w w:val="90"/>
              </w:rPr>
            </w:pPr>
            <w:hyperlink w:anchor="page48">
              <w:r>
                <w:rPr>
                  <w:rFonts w:ascii="Arial" w:cs="Arial" w:eastAsia="Arial" w:hAnsi="Arial"/>
                  <w:sz w:val="18"/>
                  <w:szCs w:val="18"/>
                  <w:u w:val="single" w:color="auto"/>
                  <w:color w:val="0000FF"/>
                  <w:w w:val="90"/>
                </w:rPr>
                <w:t>Amendment to Executive Employment Agreement, dated as of January 1, 2020, by and between Registrant and Sanjay Subramanian</w:t>
              </w:r>
              <w:r>
                <w:rPr>
                  <w:rFonts w:ascii="Arial" w:cs="Arial" w:eastAsia="Arial" w:hAnsi="Arial"/>
                  <w:sz w:val="18"/>
                  <w:szCs w:val="18"/>
                  <w:color w:val="0000FF"/>
                  <w:w w:val="90"/>
                </w:rPr>
                <w:t>.</w:t>
              </w:r>
            </w:hyperlink>
          </w:p>
        </w:tc>
      </w:tr>
      <w:tr>
        <w:trPr>
          <w:trHeight w:val="324"/>
        </w:trPr>
        <w:tc>
          <w:tcPr>
            <w:tcW w:w="1300" w:type="dxa"/>
            <w:vAlign w:val="bottom"/>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1"/>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of the Chief Executive Officer, as required by Section 302 of the Sarbanes-Oxley Act of 2002</w:t>
              </w:r>
            </w:hyperlink>
          </w:p>
        </w:tc>
      </w:tr>
      <w:tr>
        <w:trPr>
          <w:trHeight w:val="324"/>
        </w:trPr>
        <w:tc>
          <w:tcPr>
            <w:tcW w:w="130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1"/>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the Chief Financial Officer as required by Section 302 of the Sarbanes-Oxley Act of 2002</w:t>
              </w:r>
            </w:hyperlink>
          </w:p>
        </w:tc>
      </w:tr>
      <w:tr>
        <w:trPr>
          <w:trHeight w:val="324"/>
        </w:trPr>
        <w:tc>
          <w:tcPr>
            <w:tcW w:w="130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1"/>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Certifications of the Chief Executive Officer and Chief Financial Officer as required by 18 U.S.C. 1350</w:t>
              </w:r>
            </w:hyperlink>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2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Ocugen, Inc.</w:t>
      </w:r>
    </w:p>
    <w:p>
      <w:pPr>
        <w:spacing w:after="0" w:line="12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6"/>
          <w:szCs w:val="16"/>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Shankar Musunuri, Ph.D., MBA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6"/>
          <w:szCs w:val="16"/>
          <w:color w:val="auto"/>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Subramanian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125"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0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 xml:space="preserve">THIS AMENDED &amp; RESTATED EXECUTIVE EMPLOYMENT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January 1, 2020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Ocugen,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Vijay Tammara, an individual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Employee are parties to an Executive Employment Agreement dated as of April 27, 2017, as amended (the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parties have determined it is in its best interest to enter into this Agreement to set forth the terms and conditions of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 employment with the Company, which shall supersede in its entirety the Prior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facts, mutual promises and covenants contained herein and intending to be legally bound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Employee agree as follows:</w:t>
      </w:r>
    </w:p>
    <w:p>
      <w:pPr>
        <w:spacing w:after="0" w:line="1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the following terms shall have the meanings set forth below unless the contexts otherwise requires:</w:t>
      </w:r>
    </w:p>
    <w:p>
      <w:pPr>
        <w:spacing w:after="0" w:line="23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Affiliates</w:t>
      </w:r>
      <w:r>
        <w:rPr>
          <w:rFonts w:ascii="Arial" w:cs="Arial" w:eastAsia="Arial" w:hAnsi="Arial"/>
          <w:sz w:val="18"/>
          <w:szCs w:val="18"/>
          <w:color w:val="auto"/>
        </w:rPr>
        <w:t>” means, with respect to a person, all other persons controlling, controlled by or under common control with the first person; the term “control,” and correlative terms, means the power, whether by contract, equity ownership or otherwise, to direct the policies or management of a person; and “person” means an individual, partnership, corporation, limited liability company, trust or unincorporated organization, or a government or agency or political subdivision thereof.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Base Compensation</w:t>
      </w:r>
      <w:r>
        <w:rPr>
          <w:rFonts w:ascii="Arial" w:cs="Arial" w:eastAsia="Arial" w:hAnsi="Arial"/>
          <w:sz w:val="16"/>
          <w:szCs w:val="16"/>
          <w:color w:val="auto"/>
        </w:rPr>
        <w:t>” shall mean the annual rate of compensation set forth in Section 4.1, as such amount may be adjusted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Company’s Board of Directors.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 the occurrence of any one or more of the events set forth below in clauses (a) through (d), which, in the case of the event or events set forth below in clause (a) is not cured by Employee within the time periods set forth therein:</w:t>
      </w:r>
    </w:p>
    <w:p>
      <w:pPr>
        <w:spacing w:after="0" w:line="170" w:lineRule="exact"/>
        <w:rPr>
          <w:sz w:val="20"/>
          <w:szCs w:val="20"/>
          <w:color w:val="auto"/>
        </w:rPr>
      </w:pPr>
    </w:p>
    <w:p>
      <w:pPr>
        <w:jc w:val="both"/>
        <w:ind w:firstLine="1952"/>
        <w:spacing w:after="0" w:line="259" w:lineRule="auto"/>
        <w:tabs>
          <w:tab w:leader="none" w:pos="21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or refusal by Employee to substantially perform a material portion of the duties of his employment or to comply with the written rules and policies of the Company which failure continues uncured thirty (30) days after written notice of such failure or refusal (or such longer period as is necessary to cure such event so long as Employee is diligently pursuing such cure and provided such additional period is approved by the CEO) is provided to Employee setting forth in reasonable detail the nature of such failure or refusal;</w:t>
      </w:r>
    </w:p>
    <w:p>
      <w:pPr>
        <w:spacing w:after="0" w:line="186" w:lineRule="exact"/>
        <w:rPr>
          <w:rFonts w:ascii="Arial" w:cs="Arial" w:eastAsia="Arial" w:hAnsi="Arial"/>
          <w:sz w:val="18"/>
          <w:szCs w:val="18"/>
          <w:color w:val="auto"/>
        </w:rPr>
      </w:pPr>
    </w:p>
    <w:p>
      <w:pPr>
        <w:ind w:left="2200" w:hanging="248"/>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Employee’s repeatedly engaging in willful and serious misconduct in connection with his employment;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engagement by Employee in fraudulent conduct; or</w:t>
      </w:r>
    </w:p>
    <w:p>
      <w:pPr>
        <w:spacing w:after="0" w:line="225" w:lineRule="exact"/>
        <w:rPr>
          <w:rFonts w:ascii="Arial" w:cs="Arial" w:eastAsia="Arial" w:hAnsi="Arial"/>
          <w:sz w:val="18"/>
          <w:szCs w:val="18"/>
          <w:color w:val="auto"/>
        </w:rPr>
      </w:pPr>
    </w:p>
    <w:p>
      <w:pPr>
        <w:ind w:firstLine="1952"/>
        <w:spacing w:after="0" w:line="277" w:lineRule="auto"/>
        <w:tabs>
          <w:tab w:leader="none" w:pos="22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Employee’s conviction of, or plea of no contest to, a felony or other crime the circumstances of which are substantially related to the Employee’s position.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shall mean (i) the closing of the sale, transfer or other disposition of all or substantially all of the Company’s assets,</w:t>
      </w:r>
    </w:p>
    <w:p>
      <w:pPr>
        <w:spacing w:after="0" w:line="46" w:lineRule="exact"/>
        <w:rPr>
          <w:sz w:val="20"/>
          <w:szCs w:val="20"/>
          <w:color w:val="auto"/>
        </w:rPr>
      </w:pPr>
    </w:p>
    <w:p>
      <w:pPr>
        <w:ind w:firstLine="8"/>
        <w:spacing w:after="0" w:line="260" w:lineRule="auto"/>
        <w:tabs>
          <w:tab w:leader="none" w:pos="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by any person or group of persons in any transaction or series of related transactions of direct or indirect beneficial ownership (within the meaning of Section 13(d) of the</w:t>
      </w:r>
    </w:p>
    <w:p>
      <w:pPr>
        <w:sectPr>
          <w:pgSz w:w="11900" w:h="16838" w:orient="portrait"/>
          <w:cols w:equalWidth="0" w:num="1">
            <w:col w:w="11240"/>
          </w:cols>
          <w:pgMar w:left="320" w:top="1417" w:right="339" w:bottom="1440" w:gutter="0" w:footer="0" w:header="0"/>
        </w:sectPr>
      </w:pPr>
    </w:p>
    <w:bookmarkStart w:id="32" w:name="page33"/>
    <w:bookmarkEnd w:id="32"/>
    <w:p>
      <w:pPr>
        <w:jc w:val="both"/>
        <w:spacing w:after="0" w:line="271" w:lineRule="auto"/>
        <w:rPr>
          <w:sz w:val="20"/>
          <w:szCs w:val="20"/>
          <w:color w:val="auto"/>
        </w:rPr>
      </w:pPr>
      <w:r>
        <w:rPr>
          <w:rFonts w:ascii="Arial" w:cs="Arial" w:eastAsia="Arial" w:hAnsi="Arial"/>
          <w:sz w:val="17"/>
          <w:szCs w:val="17"/>
          <w:color w:val="auto"/>
        </w:rPr>
        <w:t>Securities Exchange Act of 1934), other than the Current Holders of Securities of the Company, of the power, directly or indirectly, to vote or direct the voting of securities having more than 50% of the ordinary voting power for the election of directors of the Company, (iii) the consummation of the merger or consolidation of the Company with or into another entity (except a merger or consolidation in which the holders of capital stock of the Company immediately prior to such merger or consolidation continue to hold not less than fifty percent (50%) of the voting power of the capital stock of the Company or the surviving or acquiring entity immediately following such merger or consolidation), or (iv) a liquidation, dissolution or winding up of the Company; provided, however, that a transaction shall not constitute a Change of Control if the Change of Control is the result of an equity or debt financing, or if its sole purpose is to change the state of the Company’s incorporation or to create a holding company that will be owned in substantially the same proportions by the persons who held the Company’s securities immediately prior to such transaction.</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Holders of Securities of the Company</w:t>
      </w:r>
      <w:r>
        <w:rPr>
          <w:rFonts w:ascii="Arial" w:cs="Arial" w:eastAsia="Arial" w:hAnsi="Arial"/>
          <w:sz w:val="18"/>
          <w:szCs w:val="18"/>
          <w:color w:val="auto"/>
        </w:rPr>
        <w:t>” shall mean the current holders of issued and outstanding “Securities” of the Company, their “Affiliates” (as such terms are defined herein), and their respective employees, officers, directors, blood or legal relatives, guardians, legal representatives, and trusts for the primary benefit of any of such persons.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shall mean Employee’s inability, for a period of six (6) consecutive months, or a cumulative period of one hundred eighty</w:t>
      </w:r>
    </w:p>
    <w:p>
      <w:pPr>
        <w:spacing w:after="0" w:line="35" w:lineRule="exact"/>
        <w:rPr>
          <w:sz w:val="20"/>
          <w:szCs w:val="20"/>
          <w:color w:val="auto"/>
        </w:rPr>
      </w:pPr>
    </w:p>
    <w:p>
      <w:pPr>
        <w:jc w:val="both"/>
        <w:ind w:firstLine="8"/>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days out of a period of twelve (12) consecutive months, to perform the essential duties of Employee’s position, even after taking into account any reasonable accommodation required by law, due to a mental or physical impairment. The determination of whether Employee is suffering from a Disability shall be made either (a) by an independent physician, mutually chosen by Employee and the Company; or (b) because Employee qualifies as disabled for purposes of the Company’s long term insurance disability plan, if applicable.</w:t>
      </w:r>
    </w:p>
    <w:p>
      <w:pPr>
        <w:spacing w:after="0" w:line="19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the occurrence of one or more of the events set forth in clauses (a) through (e) below without the prior written consent of Employee, provided that (i) Employee delivers written notice to the Company of Employee’s intention to resign from employment due to one or more of such events, which notice specifies in reasonable detail the circumstances claimed to provide the basis for such resignation, and (ii) such event or events are not cured by the Company within thirty (30) days following delivery of such written notice and (iii) if not cured by the Company, Employee resigns his employment within fifteen (15) days following the Company’s cure period:</w:t>
      </w:r>
    </w:p>
    <w:p>
      <w:pPr>
        <w:spacing w:after="0" w:line="176" w:lineRule="exact"/>
        <w:rPr>
          <w:sz w:val="20"/>
          <w:szCs w:val="20"/>
          <w:color w:val="auto"/>
        </w:rPr>
      </w:pPr>
    </w:p>
    <w:p>
      <w:pPr>
        <w:ind w:left="2240" w:hanging="288"/>
        <w:spacing w:after="0"/>
        <w:tabs>
          <w:tab w:leader="none" w:pos="2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reduction in Employee’s annual rate of Base Compensation unless such reduction is made across all executives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employees of the Company;</w:t>
      </w:r>
    </w:p>
    <w:p>
      <w:pPr>
        <w:spacing w:after="0" w:line="210" w:lineRule="exact"/>
        <w:rPr>
          <w:rFonts w:ascii="Arial" w:cs="Arial" w:eastAsia="Arial" w:hAnsi="Arial"/>
          <w:sz w:val="17"/>
          <w:szCs w:val="17"/>
          <w:color w:val="auto"/>
        </w:rPr>
      </w:pPr>
    </w:p>
    <w:p>
      <w:pPr>
        <w:ind w:firstLine="1952"/>
        <w:spacing w:after="0" w:line="308" w:lineRule="auto"/>
        <w:tabs>
          <w:tab w:leader="none" w:pos="22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termination or material reduction of a material benefit under any Company benefit plans, programs or arrangements, in which the Employee participates unless such termination or reduction is made across all executives or employees of the Company;</w:t>
      </w:r>
    </w:p>
    <w:p>
      <w:pPr>
        <w:spacing w:after="0" w:line="146" w:lineRule="exact"/>
        <w:rPr>
          <w:rFonts w:ascii="Arial" w:cs="Arial" w:eastAsia="Arial" w:hAnsi="Arial"/>
          <w:sz w:val="17"/>
          <w:szCs w:val="17"/>
          <w:color w:val="auto"/>
        </w:rPr>
      </w:pPr>
    </w:p>
    <w:p>
      <w:pPr>
        <w:ind w:left="2200" w:hanging="248"/>
        <w:spacing w:after="0"/>
        <w:tabs>
          <w:tab w:leader="none" w:pos="2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reduction in Employee’s job title, powers or authority;</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Company’s material failure to comply with the terms of this Agreement or any stock option or similar agreement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 then in effect;</w:t>
      </w:r>
    </w:p>
    <w:p>
      <w:pPr>
        <w:spacing w:after="0" w:line="210" w:lineRule="exact"/>
        <w:rPr>
          <w:rFonts w:ascii="Arial" w:cs="Arial" w:eastAsia="Arial" w:hAnsi="Arial"/>
          <w:sz w:val="17"/>
          <w:szCs w:val="17"/>
          <w:color w:val="auto"/>
        </w:rPr>
      </w:pPr>
    </w:p>
    <w:p>
      <w:pPr>
        <w:ind w:right="20" w:firstLine="1952"/>
        <w:spacing w:after="0" w:line="277" w:lineRule="auto"/>
        <w:tabs>
          <w:tab w:leader="none" w:pos="21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by the Company that Employee relocate or transfer Employee’s principal office to a location more than 50 miles from Malvern, PA Office (except that the requirement to travel in Section 2.3 shall not trigger this subsection (e)).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have the meaning set forth in Section 8 hereof.</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 shall mean (i) a period of nine (9) months immediately following the effective date of termination of Employee’s employment hereunder if such termination is by the Company without Cause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by Employee for Good Reason, or (ii) a period of one (1) year if such termination is by the Company without Cause or by Employee for Good Reason and such termination occurs within twelve (12) months after a Change of Control.</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means any and all securities as such term is defined in Section 2 of the Securities Act of 1933, as amended, including, without limitation, all common stock, preferred stock, convertible promissory notes, subordinated debt instruments, and other securities issued by the Company.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have the meaning set forth in Section 3 hereof.</w:t>
      </w:r>
    </w:p>
    <w:p>
      <w:pPr>
        <w:spacing w:after="0" w:line="22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Contingent Employment; Employment and Duties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 Company hereby employs Employee and Employee hereby accepts continued employment as Senior Vice President, Regulatory and Quality (“</w:t>
      </w:r>
      <w:r>
        <w:rPr>
          <w:rFonts w:ascii="Arial" w:cs="Arial" w:eastAsia="Arial" w:hAnsi="Arial"/>
          <w:sz w:val="18"/>
          <w:szCs w:val="18"/>
          <w:b w:val="1"/>
          <w:bCs w:val="1"/>
          <w:i w:val="1"/>
          <w:iCs w:val="1"/>
          <w:color w:val="auto"/>
        </w:rPr>
        <w:t>Senior Vice President</w:t>
      </w:r>
      <w:r>
        <w:rPr>
          <w:rFonts w:ascii="Arial" w:cs="Arial" w:eastAsia="Arial" w:hAnsi="Arial"/>
          <w:sz w:val="18"/>
          <w:szCs w:val="18"/>
          <w:color w:val="auto"/>
        </w:rPr>
        <w:t>”) reporting to the Chief Executive Officer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Employee shall be member of the Executive Management Team. Employee shall be responsible for all duties and entitled to all authority customarily assigned to the position of Senior Vice President, including such other duties and such other authority as specified by the CEO.</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2.2. Employee shall render such services as are necessary and desirable to protect and advance the best interests of the Company, acting, in all instances, under the supervision of the CEO and in accordance with the policies set by the Company.</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2.3. So long as Employee shall remain an employee of the Company, except as provided below, Employee’s entire working time, energy, skill and efforts shall be devoted to the performance of Employee’s duties hereunder in a manner that will faithfully and diligently further the business and interests of the Company; provided, however, that Employee may (i) serve on corporate, civic or charitable boards or committees; (ii) deliver lectures, fulfill speaking engagements or teach at educational institutions; (iii) manage personal passive investments; (iv) limited role as a scientific advisor, so long as the foregoing activities, in the aggregate, do not materially interfere with the performance of Employee’s duties to the Company in accordance with this Agreement; or (iv) undertake such other endeavors as may be consented to by the CEO. Employee will be based out of and shall work from Malvern, PA office provided by the Company or other mutually agreeable office. Employee may be required to travel for up to 50% of Employee’s working time.</w:t>
      </w:r>
    </w:p>
    <w:p>
      <w:pPr>
        <w:spacing w:after="0" w:line="166" w:lineRule="exact"/>
        <w:rPr>
          <w:sz w:val="20"/>
          <w:szCs w:val="20"/>
          <w:color w:val="auto"/>
        </w:rPr>
      </w:pPr>
    </w:p>
    <w:p>
      <w:pPr>
        <w:ind w:firstLine="656"/>
        <w:spacing w:after="0" w:line="277"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Employee’s employment under this Agreement shall commence on the Effective Date and shall continue until such employment is terminated pursuant to Section 6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4.1. Employee shall receive base compensation at the gross annual rate (without regard to authorized tax or other legally required deductions and withholdings) of $353,300, payable in installments in accordance with the Company’s regular payroll practices in effect from time to time.</w:t>
      </w:r>
    </w:p>
    <w:p>
      <w:pPr>
        <w:spacing w:after="0" w:line="124"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7"/>
          <w:szCs w:val="17"/>
          <w:color w:val="auto"/>
        </w:rPr>
        <w:t>4.2. In the sole discretion of the Compensation Committee of the Board (the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and within the guidelines set by the Compensation Committee for the Executive Management Team, the Company may pay to Employee an annual bonus of up to 30% of Employee’s Base Compensation (the “</w:t>
      </w:r>
      <w:r>
        <w:rPr>
          <w:rFonts w:ascii="Arial" w:cs="Arial" w:eastAsia="Arial" w:hAnsi="Arial"/>
          <w:sz w:val="17"/>
          <w:szCs w:val="17"/>
          <w:b w:val="1"/>
          <w:bCs w:val="1"/>
          <w:i w:val="1"/>
          <w:iCs w:val="1"/>
          <w:color w:val="auto"/>
        </w:rPr>
        <w:t>Target Bonus</w:t>
      </w:r>
      <w:r>
        <w:rPr>
          <w:rFonts w:ascii="Arial" w:cs="Arial" w:eastAsia="Arial" w:hAnsi="Arial"/>
          <w:sz w:val="17"/>
          <w:szCs w:val="17"/>
          <w:color w:val="auto"/>
        </w:rPr>
        <w:t>”), based upon performance criteria set for Employee by the Compensation Committee and the CEO and certain other factors, including the Company’s performance, financial stability, availability of cash, industry benchmarks and standards and market conditions. Any annual bonus so awarded shall be payable by February 28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year for the Employee’s performance in the previous year (the “</w:t>
      </w:r>
      <w:r>
        <w:rPr>
          <w:rFonts w:ascii="Arial" w:cs="Arial" w:eastAsia="Arial" w:hAnsi="Arial"/>
          <w:sz w:val="17"/>
          <w:szCs w:val="17"/>
          <w:b w:val="1"/>
          <w:bCs w:val="1"/>
          <w:i w:val="1"/>
          <w:iCs w:val="1"/>
          <w:color w:val="auto"/>
        </w:rPr>
        <w:t>Measuring Year</w:t>
      </w:r>
      <w:r>
        <w:rPr>
          <w:rFonts w:ascii="Arial" w:cs="Arial" w:eastAsia="Arial" w:hAnsi="Arial"/>
          <w:sz w:val="17"/>
          <w:szCs w:val="17"/>
          <w:color w:val="auto"/>
        </w:rPr>
        <w:t>”). To be eligible for an annual bonus, the Employee must be employed on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Measuring Year.</w:t>
      </w:r>
    </w:p>
    <w:p>
      <w:pPr>
        <w:spacing w:after="0" w:line="9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Fringe Benefits</w:t>
      </w:r>
      <w:r>
        <w:rPr>
          <w:rFonts w:ascii="Arial" w:cs="Arial" w:eastAsia="Arial" w:hAnsi="Arial"/>
          <w:sz w:val="17"/>
          <w:szCs w:val="17"/>
          <w:color w:val="auto"/>
        </w:rPr>
        <w:t>. Employee shall be entitled to the benefits set forth below for so long as Employee’s employment with the Company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34" w:name="page35"/>
    <w:bookmarkEnd w:id="34"/>
    <w:p>
      <w:pPr>
        <w:jc w:val="both"/>
        <w:ind w:firstLine="1296"/>
        <w:spacing w:after="0" w:line="279" w:lineRule="auto"/>
        <w:rPr>
          <w:sz w:val="20"/>
          <w:szCs w:val="20"/>
          <w:color w:val="auto"/>
        </w:rPr>
      </w:pPr>
      <w:r>
        <w:rPr>
          <w:rFonts w:ascii="Arial" w:cs="Arial" w:eastAsia="Arial" w:hAnsi="Arial"/>
          <w:sz w:val="17"/>
          <w:szCs w:val="17"/>
          <w:color w:val="auto"/>
        </w:rPr>
        <w:t>5.1. The Company will reimburse Employee for all reasonable and necessary expenses incurred by Employee on behalf or for the benefit of the Company upon receipt of documentation therefor in accordance with the Company’s regular reimbursement procedures and practices in effect from time to time. The Company from time to time may require prior approval for individual expense items in excess of pre-established aggregate amounts for a fixed period or in excess of pre-established amounts for any type of expenditure during any fixed period.</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5.2. Upon Employee’s achieving the eligibility requirements therefor, if any, Employee will be eligible to participate in all applicable and established Company benefit plans, programs and arrangements that may exist from time to time (including, without limitation, pension, profit sharing, 401(k) plans, and medical and life insurance programs) on the same terms as apply generally to other similarly situated employees of the Company from time to time. Employee shall be entitled to vacation, sick and other personal time off (PTO) in accordance with the Company’s applicable employee handbook or policies.</w:t>
      </w:r>
    </w:p>
    <w:p>
      <w:pPr>
        <w:spacing w:after="0" w:line="18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Termination; Payments to Employee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6.1. If Employee dies or suffers a Disability during the Term, the Employee’s employment with the Company shall terminate as of the date of death or Disability.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6.2. Subject to Sections 6.4 and 6.5 below, either Employee or the Company may terminate this Agreement and Employee’s employment hereunder immediately upon written notice to the other party.</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6.3. If Employee’s employment terminates for any reason, Employee (or his estate in the event of Employee’s death) shall be entitled to receive a lump sum cash payment equal to the sum of the following: (i) payment of accrued but unpaid Base Compensation up to the date of termination, and any earned but unused paid vacation through the date of termination, if any, (ii) any annual bonus, earned but unpaid for the previous calendar year, if applicable, and (iii) unreimbursed business expenses covered by Section 5.1 hereof.</w:t>
      </w:r>
    </w:p>
    <w:p>
      <w:pPr>
        <w:spacing w:after="0" w:line="18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6.4. In addition to the amounts to be paid to Employee in accordance with the provisions of Section 6.3 above, and except as otherwise provided in Section 6.5, if Employee’s employment is terminated (i) by the Company without Cause or (ii) by Employee for Good Reason, then subject to Section 6.5, Employee shall be entitled to receive the following (collectively, (A) and (B) the “</w:t>
      </w:r>
      <w:r>
        <w:rPr>
          <w:rFonts w:ascii="Arial" w:cs="Arial" w:eastAsia="Arial" w:hAnsi="Arial"/>
          <w:sz w:val="16"/>
          <w:szCs w:val="16"/>
          <w:b w:val="1"/>
          <w:bCs w:val="1"/>
          <w:i w:val="1"/>
          <w:iCs w:val="1"/>
          <w:color w:val="auto"/>
        </w:rPr>
        <w:t>Severance Payment</w:t>
      </w:r>
      <w:r>
        <w:rPr>
          <w:rFonts w:ascii="Arial" w:cs="Arial" w:eastAsia="Arial" w:hAnsi="Arial"/>
          <w:sz w:val="16"/>
          <w:szCs w:val="16"/>
          <w:color w:val="auto"/>
        </w:rPr>
        <w:t>”): (A) for the duration of the Severance Period, Employee’s then current Base Compensation minus any applicable taxes, and other withholdings, payable in accordance with the Company’s standard payroll practices; and (B) from the commencement of the Severance Period until the earlier of the expiration of the Severance Period or such date as Employee, may be eligible for health insurance coverage under another employer’s or a spouse’s employer’s health plan, the Company will pay the Employee’s COBRA premium for any applicable health or dental insurance, if he is eligible to elect COBRA continuation coverage.</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6.5. If Employee’s employment is terminated (i) by the Company without Cause or (ii) by Employee for Good Reason, in either case within twelve (12) months after a Change of Control, Employee shall be entitled to receive the following (collectively, (A), (B), (C) and (D) the “</w:t>
      </w:r>
      <w:r>
        <w:rPr>
          <w:rFonts w:ascii="Arial" w:cs="Arial" w:eastAsia="Arial" w:hAnsi="Arial"/>
          <w:sz w:val="17"/>
          <w:szCs w:val="17"/>
          <w:b w:val="1"/>
          <w:bCs w:val="1"/>
          <w:i w:val="1"/>
          <w:iCs w:val="1"/>
          <w:color w:val="auto"/>
        </w:rPr>
        <w:t>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Control Severance Payment</w:t>
      </w:r>
      <w:r>
        <w:rPr>
          <w:rFonts w:ascii="Arial" w:cs="Arial" w:eastAsia="Arial" w:hAnsi="Arial"/>
          <w:sz w:val="17"/>
          <w:szCs w:val="17"/>
          <w:color w:val="auto"/>
        </w:rPr>
        <w:t>”), in lieu of the Severance Payment described in Section 6.4 and in addition to the amounts to be paid to Employee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the provisions of Section 6.3 above: (A) for the duration of the Severance Period, Employee’s then current Base Compensation minus any applicable taxes, and other withholdings, payable in accordance with the Company’s standard payroll practices; (B) from the commencement of the Severance Period until the earlier of the expiration of the Severance Period or such date as Employee, may be eligible for health insurance coverage under another employer’s or a spouse’s employer’s health plan, the Company will pay the Employee’s COBRA premium for any applicable health or dental insurance, if he is eligible to elect COBRA continuation coverage; (C) 75% of his then-current Target Bonus payable in a lump sum; and (D) all unvested restricted stock, stock options and other equity incentives awarded to the Employee by the Company will become immediately and automatically fully vested and exercisable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35" w:name="page36"/>
    <w:bookmarkEnd w:id="35"/>
    <w:p>
      <w:pPr>
        <w:jc w:val="both"/>
        <w:ind w:firstLine="1296"/>
        <w:spacing w:after="0" w:line="268" w:lineRule="auto"/>
        <w:rPr>
          <w:sz w:val="20"/>
          <w:szCs w:val="20"/>
          <w:color w:val="auto"/>
        </w:rPr>
      </w:pPr>
      <w:r>
        <w:rPr>
          <w:rFonts w:ascii="Arial" w:cs="Arial" w:eastAsia="Arial" w:hAnsi="Arial"/>
          <w:sz w:val="17"/>
          <w:szCs w:val="17"/>
          <w:color w:val="auto"/>
        </w:rPr>
        <w:t>6.6. Employee shall not be entitled to receive the Severance Payment or Change of Control Severance Payment unless and until Employee executes, and does not revoke as permitted by law, a release in a form reasonably acceptable to the Company that unconditionally releases, waives, and fully and forever discharges the Company and its past and current shareholders, directors, officers, employees, and agents from and against any and all claims, liabilities, obligations, covenants, rights, demands and damages of any nature whatsoever, whether known or unknown, anticipated or unanticipated, including without limitation, any claims relating to or arising out of Employee’s employment with the Company, claims arising under the Age Discrimination in Employment Act of 1967, as amended, Title VII of the Civil Rights Act of 1964, as amended, or the Civil Rights Act of 1991, or claims arising under the applicable state fair employment laws, but excluding any rights of Employee under any remaining stock option agreements (if any) or other agreements relating to equity in the Company and Employee’s right to indemnification from the Company in respect of his services as a director, officer or employee of the Company or any of its Affiliates. The release shall also contain customary non-disparagement covenants by Employee. Employee’s right to receive the Severance Payment or Change of Control Severance Payment is conditioned upon Employee’s performance of the obligations and covenants contained in this Employment Agreement, the Covenants Agreements (as defined below) and any other agreement between Employee and the Company. In the event of any material breach of any such obligations during or after payment of the Severance Payment or Change of Control Severance Payment, the Company may cease to make any remaining payments.</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6.7. Notwithstanding anything in this Agreement to the contrary, all payments to be made upon a termination of employment under this Agreement will only be made upon a “separation from service” within the meaning of Section 409A of the Internal Revenue Code of 1986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To the maximum extent permitted under Section 409A of the Code and its corresponding regulations, the cash severance benefits payable under this Agreement are intended to meet the requirements of the short-term deferral exemption under Section 409A of the Code and the “separation pay exception” under Treas. Reg. §1.409A-1(b)(9)(iii). For purposes of the application of Treas. Reg. § 1.409A-1(b)(4)(or any successor provision), each payment in a series of payments to Employee will be deemed a separate payment. In addition, to the extent compliance with the requirements of Treas. Reg. § 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the Employee’s “separation from service” will be deferred without interest and paid to Employee in a lump sum immediately following such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6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Confidential Information, etc.</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7.1. Employee acknowledges and agrees that Employee is bound by the Employment Non-Competition Agreement entered into at his commencement of employment (the “</w:t>
      </w:r>
      <w:r>
        <w:rPr>
          <w:rFonts w:ascii="Arial" w:cs="Arial" w:eastAsia="Arial" w:hAnsi="Arial"/>
          <w:sz w:val="18"/>
          <w:szCs w:val="18"/>
          <w:b w:val="1"/>
          <w:bCs w:val="1"/>
          <w:i w:val="1"/>
          <w:iCs w:val="1"/>
          <w:color w:val="auto"/>
        </w:rPr>
        <w:t>Non-Competition Agreement</w:t>
      </w:r>
      <w:r>
        <w:rPr>
          <w:rFonts w:ascii="Arial" w:cs="Arial" w:eastAsia="Arial" w:hAnsi="Arial"/>
          <w:sz w:val="18"/>
          <w:szCs w:val="18"/>
          <w:color w:val="auto"/>
        </w:rPr>
        <w:t>”), which shall continue in full force and effect.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7.2. Employee acknowledges and agrees that Employee is bound by the Employee Nondisclosure and Business Ideas Agreement dated as of Employee’s commencement of employment (together with the Non-Competition Agreement, the “</w:t>
      </w:r>
      <w:r>
        <w:rPr>
          <w:rFonts w:ascii="Arial" w:cs="Arial" w:eastAsia="Arial" w:hAnsi="Arial"/>
          <w:sz w:val="18"/>
          <w:szCs w:val="18"/>
          <w:b w:val="1"/>
          <w:bCs w:val="1"/>
          <w:i w:val="1"/>
          <w:iCs w:val="1"/>
          <w:color w:val="auto"/>
        </w:rPr>
        <w:t>Covenants Agreements</w:t>
      </w:r>
      <w:r>
        <w:rPr>
          <w:rFonts w:ascii="Arial" w:cs="Arial" w:eastAsia="Arial" w:hAnsi="Arial"/>
          <w:sz w:val="18"/>
          <w:szCs w:val="18"/>
          <w:color w:val="auto"/>
        </w:rPr>
        <w:t>”), which shall continue in full force and effect.</w:t>
      </w:r>
    </w:p>
    <w:p>
      <w:pPr>
        <w:spacing w:after="0" w:line="184" w:lineRule="exact"/>
        <w:rPr>
          <w:sz w:val="20"/>
          <w:szCs w:val="20"/>
          <w:color w:val="auto"/>
        </w:rPr>
      </w:pPr>
    </w:p>
    <w:p>
      <w:pPr>
        <w:jc w:val="both"/>
        <w:ind w:firstLine="656"/>
        <w:spacing w:after="0" w:line="293" w:lineRule="auto"/>
        <w:tabs>
          <w:tab w:leader="none" w:pos="129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the Company’s Articles of Incorporation and Bylaws, the Company shall indemnify Employee to the fullest extent permitted by law against all costs, expenses, liabilities and losses (including, without limitation, attorneys’ fees, judgments, fines, penalties, and amounts paid in settlement) reasonably incurred by Employee in connection with any “Proceeding” (as defined herein). For the purposes of this Section 8,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shall mean any action, suit or proceeding, whether civil, criminal, administrative or investigative, in which Employee is made, or is threatened to be made, a party to, or a witness in, such action, suit or proceeding by reason of the fact that he is or was an officer, director or employee of the Company or is or was serving as an officer, director, member, employee, trustee or agent of any other entity at the request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36" w:name="page37"/>
    <w:bookmarkEnd w:id="36"/>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Golden Parachute Tax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9.1. In the event that the Company or any of their Affiliates undergoes a Change of Control prior to the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Affiliates, would constitute an “excess parachute payment” within the meaning of Section 280G of the Code, the following provisions shall apply:</w:t>
      </w:r>
    </w:p>
    <w:p>
      <w:pPr>
        <w:spacing w:after="0" w:line="192" w:lineRule="exact"/>
        <w:rPr>
          <w:sz w:val="20"/>
          <w:szCs w:val="20"/>
          <w:color w:val="auto"/>
        </w:rPr>
      </w:pPr>
    </w:p>
    <w:p>
      <w:pPr>
        <w:jc w:val="both"/>
        <w:ind w:right="20" w:firstLine="1944"/>
        <w:spacing w:after="0" w:line="277" w:lineRule="auto"/>
        <w:rPr>
          <w:sz w:val="20"/>
          <w:szCs w:val="20"/>
          <w:color w:val="auto"/>
        </w:rPr>
      </w:pPr>
      <w:r>
        <w:rPr>
          <w:rFonts w:ascii="Arial" w:cs="Arial" w:eastAsia="Arial" w:hAnsi="Arial"/>
          <w:sz w:val="18"/>
          <w:szCs w:val="18"/>
          <w:color w:val="auto"/>
        </w:rPr>
        <w:t>9.1.1. The Company or any of applicable Affiliates will cooperate in good faith with Employee such that any such payments or benefits will not be deemed an “excess parachute payment” within the meaning of Section 280G of the Code.</w:t>
      </w:r>
    </w:p>
    <w:p>
      <w:pPr>
        <w:spacing w:after="0" w:line="170"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9.1.2. In the event that any payments or benefits (whether payable pursuant to this Agreement or otherwise) to Employee could be exempt from Section 280G of the Code if the shareholder approval requirements under Section 280G(b)(5) of the Code and the regulations thereunder were met, such payments will be conditioned on shareholder approval in accordance with Section 280G(b)(5)(B) of the Code and regulations thereunder and the Company or any of its applicable Affiliates agrees to use best efforts to seek to obtain such shareholder approval. The actions of the Company or any of its applicable Affiliates pursuant to this provision are not intended to bind, nor shall be construed as binding, the shareholders of the Company or any of its applicable Affiliates.</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9.2. In the event that the Company or any of its applicable Affiliates undergoes a Change of Control at such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applicable Affiliates, would constitute an “excess parachute payment” within the meaning of Section 280G of the Code, Employee shall be entitled to receive (i) an amount limited so that no portion thereof shall fail to be tax deductible under Section 280G of the Code or subject to an excise tax under Section 4999 of the Code (the “</w:t>
      </w:r>
      <w:r>
        <w:rPr>
          <w:rFonts w:ascii="Arial" w:cs="Arial" w:eastAsia="Arial" w:hAnsi="Arial"/>
          <w:sz w:val="16"/>
          <w:szCs w:val="16"/>
          <w:b w:val="1"/>
          <w:bCs w:val="1"/>
          <w:i w:val="1"/>
          <w:iCs w:val="1"/>
          <w:color w:val="auto"/>
        </w:rPr>
        <w:t>Limited Amount</w:t>
      </w:r>
      <w:r>
        <w:rPr>
          <w:rFonts w:ascii="Arial" w:cs="Arial" w:eastAsia="Arial" w:hAnsi="Arial"/>
          <w:sz w:val="16"/>
          <w:szCs w:val="16"/>
          <w:color w:val="auto"/>
        </w:rPr>
        <w:t>”), or (ii) if the amount otherwise payable hereunder together with other payments or benefits which Employee receives or is entitled to receive from the Company or any of its applicable Affiliates (without regard to clause (i)) reduced by all taxes applicable thereto (including, for the avoidance of doubt, the excise tax imposed by Section 4999 of the Code) would be greater than the Limited Amount reduced by all taxes applicable thereto, the amount otherwise payable hereunder together with other payments or benefits which Employee receives or is entitled to receive from the Company or any of its applicable Affiliates.</w:t>
      </w:r>
    </w:p>
    <w:p>
      <w:pPr>
        <w:spacing w:after="0" w:line="172" w:lineRule="exact"/>
        <w:rPr>
          <w:sz w:val="20"/>
          <w:szCs w:val="20"/>
          <w:color w:val="auto"/>
        </w:rPr>
      </w:pPr>
    </w:p>
    <w:p>
      <w:pPr>
        <w:jc w:val="both"/>
        <w:ind w:firstLine="656"/>
        <w:spacing w:after="0" w:line="255" w:lineRule="auto"/>
        <w:tabs>
          <w:tab w:leader="none" w:pos="12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that any payments under this Agreement or otherwise are required to be reduced as described in this Section 9, the adjustment will be made, first, by reducing the cash severance, if any, due to Employee pursuant to Section 6; second, if additional reductions are necessary, by reducing the payments due to Employee under Section 6.5(C) (Target Bonus) and third, if additional reductions are still necessary, by eliminating the accelerated vesting of equity-based awards, starting with those awards for which the amount required to be taken into account under the Section 280G of the Code rules is the greatest; provided, that in all events, such reductions shall be done in a manner consistent with the requirements of Section 409A of the Code, to the extent applicable.</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Binding Nature of Agreement</w:t>
      </w:r>
      <w:r>
        <w:rPr>
          <w:rFonts w:ascii="Arial" w:cs="Arial" w:eastAsia="Arial" w:hAnsi="Arial"/>
          <w:sz w:val="17"/>
          <w:szCs w:val="17"/>
          <w:color w:val="auto"/>
        </w:rPr>
        <w:t>. This Agreement shall be binding upon the Company and shall inure to the benefit of the Company, its Affiliates, successors and assigns, including any transferee of the business operation, as a going concern, in which Employee is employed and shall be binding upon Employee, Employee’s heirs and personal representatives. None of the rights or obligations of Employee hereunder may be assigned or delegated, except that in the event of Employee’s death or Disability, any rights of Employee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37" w:name="page38"/>
    <w:bookmarkEnd w:id="37"/>
    <w:p>
      <w:pPr>
        <w:jc w:val="both"/>
        <w:ind w:right="20"/>
        <w:spacing w:after="0" w:line="259" w:lineRule="auto"/>
        <w:rPr>
          <w:sz w:val="20"/>
          <w:szCs w:val="20"/>
          <w:color w:val="auto"/>
        </w:rPr>
      </w:pPr>
      <w:r>
        <w:rPr>
          <w:rFonts w:ascii="Arial" w:cs="Arial" w:eastAsia="Arial" w:hAnsi="Arial"/>
          <w:sz w:val="18"/>
          <w:szCs w:val="18"/>
          <w:color w:val="auto"/>
        </w:rPr>
        <w:t>shall be transferred to Employee’s estate or personal representative, as the case may be. The Company may assign its rights and obligations under this Agreement in whole or in part to any one or more Affiliates or successors. Any entity into which the Company is merged or with which the Company is consolidated or which acquires the business of the Company or the business unit in which Employee is to be principally employed shall be deemed to be a successor of the Company for purposes hereof.</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Covenants Agreements, contains the entire understanding among the parties hereto with respect to the subject matter hereof, and supersedes all prior and contemporaneous agreements and understandings, inducements or conditions, express or implied, oral or written, including without limitation, the Prior Agreement. The express terms hereof control and supersede any course of performance and/or usage of the trade inconsistent with any of the terms hereof. Notwithstanding the foregoing, nothing herein shall limit the application of any generally applicable Company policy, practice, plan or the terms of any manual or handbook applicable to the Company’s employees generally.</w:t>
      </w:r>
    </w:p>
    <w:p>
      <w:pPr>
        <w:spacing w:after="0" w:line="16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required or permitted to be given under this Agreement shall be in writing and shall be deemed to have been duly given if delivered personally, or mailed first-class, postage prepaid, by registered or certified mail (notices sent by mail shall be deemed to have been given on the third day after the date sent), or by nationally recognized overnight carrier(notices sent by overnight shall be deemed to have been given on the day after the date sent) or by confirmed facsimile or electronic mail transmission with a hard copy deposited in first class mail the same day or the following day, as follows (or to such other address as either party shall designate by notice in writing to the other):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Ocugen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Five Great Valley, Suite # 160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Shankar Musunuri</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 to the address on file with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shall be governed by the laws of Delaware.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for reference purposes only and shall not in any way affect the meaning or interpretation of this Agreement.</w:t>
      </w:r>
    </w:p>
    <w:p>
      <w:pPr>
        <w:spacing w:after="0" w:line="170"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modified, superseded, canceled, renewed, or extended and the terms or covenants of this Agreement may be waived, only by a written instrument executed by both of the parties, or in the case of a waiver, by the party waiving compliance.</w:t>
      </w:r>
    </w:p>
    <w:p>
      <w:pPr>
        <w:spacing w:after="0" w:line="12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either party at any time or times to require performance of any provision of this Agreement shall in no manner affect the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constitute an original and all of which taken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executed this Agreement on the date first above written.</w:t>
      </w:r>
    </w:p>
    <w:p>
      <w:pPr>
        <w:sectPr>
          <w:pgSz w:w="11900" w:h="16838" w:orient="portrait"/>
          <w:cols w:equalWidth="0" w:num="1">
            <w:col w:w="9479"/>
          </w:cols>
          <w:pgMar w:left="980" w:top="1417" w:right="1440"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OCUGEN, INC.</w:t>
      </w:r>
    </w:p>
    <w:p>
      <w:pPr>
        <w:spacing w:after="0" w:line="391" w:lineRule="exact"/>
        <w:rPr>
          <w:sz w:val="20"/>
          <w:szCs w:val="20"/>
          <w:color w:val="auto"/>
        </w:rPr>
      </w:pPr>
    </w:p>
    <w:tbl>
      <w:tblPr>
        <w:tblLayout w:type="fixed"/>
        <w:tblInd w:w="32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800"/>
              <w:spacing w:after="0"/>
              <w:rPr>
                <w:sz w:val="20"/>
                <w:szCs w:val="20"/>
                <w:color w:val="auto"/>
              </w:rPr>
            </w:pPr>
            <w:r>
              <w:rPr>
                <w:rFonts w:ascii="Arial" w:cs="Arial" w:eastAsia="Arial" w:hAnsi="Arial"/>
                <w:sz w:val="18"/>
                <w:szCs w:val="18"/>
                <w:color w:val="auto"/>
              </w:rPr>
              <w:t>/s/ Shankar Musunuri</w:t>
            </w:r>
          </w:p>
        </w:tc>
      </w:tr>
      <w:tr>
        <w:trPr>
          <w:trHeight w:val="27"/>
        </w:trPr>
        <w:tc>
          <w:tcPr>
            <w:tcW w:w="3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Shankar Musunuri</w:t>
            </w:r>
          </w:p>
        </w:tc>
      </w:tr>
    </w:tbl>
    <w:p>
      <w:pPr>
        <w:spacing w:after="0" w:line="296"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Chairman and CEO</w:t>
      </w:r>
    </w:p>
    <w:p>
      <w:pPr>
        <w:spacing w:after="0" w:line="3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EMPLOYEE:</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Vijay Tammara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25114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Vijay Tammara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Employment Agreement</w:t>
      </w:r>
      <w:r>
        <w:rPr>
          <w:rFonts w:ascii="Arial" w:cs="Arial" w:eastAsia="Arial" w:hAnsi="Arial"/>
          <w:sz w:val="21"/>
          <w:szCs w:val="21"/>
          <w:color w:val="auto"/>
        </w:rPr>
        <w:t>]</w:t>
      </w:r>
    </w:p>
    <w:p>
      <w:pPr>
        <w:sectPr>
          <w:pgSz w:w="11900" w:h="16838" w:orient="portrait"/>
          <w:cols w:equalWidth="0" w:num="1">
            <w:col w:w="9479"/>
          </w:cols>
          <w:pgMar w:left="980" w:top="1417" w:right="1440" w:bottom="1440" w:gutter="0" w:footer="0" w:header="0"/>
          <w:type w:val="continuous"/>
        </w:sectPr>
      </w:pPr>
    </w:p>
    <w:bookmarkStart w:id="39" w:name="page40"/>
    <w:bookmarkEnd w:id="39"/>
    <w:p>
      <w:pPr>
        <w:ind w:left="1032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4" w:lineRule="exact"/>
        <w:rPr>
          <w:sz w:val="20"/>
          <w:szCs w:val="20"/>
          <w:color w:val="auto"/>
        </w:rPr>
      </w:pPr>
    </w:p>
    <w:p>
      <w:pPr>
        <w:jc w:val="both"/>
        <w:ind w:firstLine="549"/>
        <w:spacing w:after="0" w:line="282" w:lineRule="auto"/>
        <w:rPr>
          <w:sz w:val="20"/>
          <w:szCs w:val="20"/>
          <w:color w:val="auto"/>
        </w:rPr>
      </w:pPr>
      <w:r>
        <w:rPr>
          <w:rFonts w:ascii="Arial" w:cs="Arial" w:eastAsia="Arial" w:hAnsi="Arial"/>
          <w:sz w:val="18"/>
          <w:szCs w:val="18"/>
          <w:b w:val="1"/>
          <w:bCs w:val="1"/>
          <w:color w:val="auto"/>
        </w:rPr>
        <w:t xml:space="preserve">THIS AMENDED &amp; RESTATED EXECUTIVE EMPLOYMENT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January 1,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Ocugen,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Kelly A. Beck, an individual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w:t>
      </w:r>
    </w:p>
    <w:p>
      <w:pPr>
        <w:spacing w:after="0" w:line="193" w:lineRule="exact"/>
        <w:rPr>
          <w:sz w:val="20"/>
          <w:szCs w:val="20"/>
          <w:color w:val="auto"/>
        </w:rPr>
      </w:pPr>
    </w:p>
    <w:p>
      <w:pPr>
        <w:jc w:val="both"/>
        <w:ind w:firstLine="357"/>
        <w:spacing w:after="0" w:line="263" w:lineRule="auto"/>
        <w:rPr>
          <w:sz w:val="20"/>
          <w:szCs w:val="20"/>
          <w:color w:val="auto"/>
        </w:rPr>
      </w:pPr>
      <w:r>
        <w:rPr>
          <w:rFonts w:ascii="Arial" w:cs="Arial" w:eastAsia="Arial" w:hAnsi="Arial"/>
          <w:sz w:val="18"/>
          <w:szCs w:val="18"/>
          <w:color w:val="auto"/>
        </w:rPr>
        <w:t>The Company and Employee are parties to an Executive Employment Agreement dated as of June 14, 2017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 The parties have determined it is in its best interest to enter into this Agreement to set forth the terms and conditions of Employee’s continued employment with the Company, which shall supersede in its entirety the Prior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facts, mutual promises and covenants contained herein and intending to be legally bound hereby,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and Employee agree as 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meanings set forth below unless the contexts otherwise requires:</w:t>
      </w:r>
    </w:p>
    <w:p>
      <w:pPr>
        <w:spacing w:after="0" w:line="25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Affiliates</w:t>
      </w:r>
      <w:r>
        <w:rPr>
          <w:rFonts w:ascii="Arial" w:cs="Arial" w:eastAsia="Arial" w:hAnsi="Arial"/>
          <w:sz w:val="18"/>
          <w:szCs w:val="18"/>
          <w:color w:val="auto"/>
        </w:rPr>
        <w:t>” means, with respect to a person, all other persons controlling, controlled by or under common control with the first person; the term “control,” and correlative terms, means the power, whether by contract, equity ownership or otherwise, to direct the policies or management of a person; and “person” means an individual, partnership, corporation, limited liability company, trust or unincorporated organization, or a government or agency or political subdivision thereof.</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Base Compensation</w:t>
      </w:r>
      <w:r>
        <w:rPr>
          <w:rFonts w:ascii="Arial" w:cs="Arial" w:eastAsia="Arial" w:hAnsi="Arial"/>
          <w:sz w:val="16"/>
          <w:szCs w:val="16"/>
          <w:color w:val="auto"/>
        </w:rPr>
        <w:t>” shall mean the annual rate of compensation set forth in Section 4.1, as such amount may be adjusted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Company’s Board of Directors.</w:t>
      </w:r>
    </w:p>
    <w:p>
      <w:pPr>
        <w:spacing w:after="0" w:line="25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 the occurrence of any one or more of the events set forth below in clauses (a) through (d), which, in the case of the event or events set forth below in clause (a) is not cured by Employee within the time periods set forth therein:</w:t>
      </w:r>
    </w:p>
    <w:p>
      <w:pPr>
        <w:spacing w:after="0" w:line="197" w:lineRule="exact"/>
        <w:rPr>
          <w:sz w:val="20"/>
          <w:szCs w:val="20"/>
          <w:color w:val="auto"/>
        </w:rPr>
      </w:pPr>
    </w:p>
    <w:p>
      <w:pPr>
        <w:jc w:val="both"/>
        <w:ind w:firstLine="1952"/>
        <w:spacing w:after="0" w:line="259" w:lineRule="auto"/>
        <w:tabs>
          <w:tab w:leader="none" w:pos="2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or refusal by Employee to substantially perform a material portion of the duties of her employment or to comply with the written rules and policies of the Company which failure continues uncured thirty (30) days after written notice of such failure or refusal (or such longer period as is necessary to cure such event so long as Employee is diligently pursuing such cure and provided such additional period is approved by the CEO) is provided to Employee setting forth in reasonable detail the nature of such failure or refusal;</w:t>
      </w:r>
    </w:p>
    <w:p>
      <w:pPr>
        <w:spacing w:after="0" w:line="213" w:lineRule="exact"/>
        <w:rPr>
          <w:rFonts w:ascii="Arial" w:cs="Arial" w:eastAsia="Arial" w:hAnsi="Arial"/>
          <w:sz w:val="18"/>
          <w:szCs w:val="18"/>
          <w:color w:val="auto"/>
        </w:rPr>
      </w:pPr>
    </w:p>
    <w:p>
      <w:pPr>
        <w:ind w:left="2200" w:hanging="248"/>
        <w:spacing w:after="0"/>
        <w:tabs>
          <w:tab w:leader="none" w:pos="2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Employee’s repeatedly engaging in willful and serious misconduct in connection with her employment;</w:t>
      </w:r>
    </w:p>
    <w:p>
      <w:pPr>
        <w:spacing w:after="0" w:line="252" w:lineRule="exact"/>
        <w:rPr>
          <w:rFonts w:ascii="Arial" w:cs="Arial" w:eastAsia="Arial" w:hAnsi="Arial"/>
          <w:sz w:val="18"/>
          <w:szCs w:val="18"/>
          <w:color w:val="auto"/>
        </w:rPr>
      </w:pPr>
    </w:p>
    <w:p>
      <w:pPr>
        <w:ind w:left="2200" w:hanging="248"/>
        <w:spacing w:after="0"/>
        <w:tabs>
          <w:tab w:leader="none" w:pos="2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engagement by Employee in fraudulent conduct; or</w:t>
      </w:r>
    </w:p>
    <w:p>
      <w:pPr>
        <w:spacing w:after="0" w:line="252" w:lineRule="exact"/>
        <w:rPr>
          <w:rFonts w:ascii="Arial" w:cs="Arial" w:eastAsia="Arial" w:hAnsi="Arial"/>
          <w:sz w:val="18"/>
          <w:szCs w:val="18"/>
          <w:color w:val="auto"/>
        </w:rPr>
      </w:pPr>
    </w:p>
    <w:p>
      <w:pPr>
        <w:ind w:firstLine="1952"/>
        <w:spacing w:after="0" w:line="277" w:lineRule="auto"/>
        <w:tabs>
          <w:tab w:leader="none" w:pos="22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Employee’s conviction of, or plea of no contest to, a felony or other crime the circumstances of which are substantially related to the Employee’s position.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shall mean (i) the closing of the sale, transfer or other disposition of all or substantially all of the Company’s assets,</w:t>
      </w:r>
    </w:p>
    <w:p>
      <w:pPr>
        <w:spacing w:after="0" w:line="46" w:lineRule="exact"/>
        <w:rPr>
          <w:sz w:val="20"/>
          <w:szCs w:val="20"/>
          <w:color w:val="auto"/>
        </w:rPr>
      </w:pPr>
    </w:p>
    <w:p>
      <w:pPr>
        <w:ind w:firstLine="8"/>
        <w:spacing w:after="0" w:line="260" w:lineRule="auto"/>
        <w:tabs>
          <w:tab w:leader="none" w:pos="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by any person or group of persons in any transaction or series of related transactions of direct or indirect beneficial ownership (within the meaning of Section 13(d) of the</w:t>
      </w:r>
    </w:p>
    <w:p>
      <w:pPr>
        <w:sectPr>
          <w:pgSz w:w="11900" w:h="16838" w:orient="portrait"/>
          <w:cols w:equalWidth="0" w:num="1">
            <w:col w:w="11240"/>
          </w:cols>
          <w:pgMar w:left="320" w:top="1417" w:right="33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7"/>
          <w:szCs w:val="17"/>
          <w:color w:val="auto"/>
        </w:rPr>
        <w:t>Securities Exchange Act of 1934), other than the Current Holders of Securities of the Company, of the power, directly or indirectly, to vote or direct the voting of securities having more than 50% of the ordinary voting power for the election of directors of the Company, (iii) the consummation of the merger or consolidation of the Company with or into another entity (except a merger or consolidation in which the holders of capital stock of the Company immediately prior to such merger or consolidation continue to hold not less than fifty percent (50%) of the voting power of the capital stock of the Company or the surviving or acquiring entity immediately following such merger or consolidation), or (iv) a liquidation, dissolution or winding up of the Company; provided, however, that a transaction shall not constitute a Change of Control if the Change of Control is the result of an equity or debt financing, or if its sole purpose is to change the state of the Company’s incorporation or to create a holding company that will be owned in substantially the same proportions by the persons who held the Company’s securities immediately prior to such transaction.</w:t>
      </w:r>
    </w:p>
    <w:p>
      <w:pPr>
        <w:spacing w:after="0" w:line="20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Holders of Securities of the Company</w:t>
      </w:r>
      <w:r>
        <w:rPr>
          <w:rFonts w:ascii="Arial" w:cs="Arial" w:eastAsia="Arial" w:hAnsi="Arial"/>
          <w:sz w:val="18"/>
          <w:szCs w:val="18"/>
          <w:color w:val="auto"/>
        </w:rPr>
        <w:t>” shall mean the current holders of issued and outstanding “Securities” of the Company, their “Affiliates” (as such terms are defined herein), and their respective employees, officers, directors, blood or legal relatives, guardians, legal representatives, and trusts for the primary benefit of any of such persons.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shall mean Employee’s inability, for a period of six (6) consecutive months, or a cumulative period of one hundred eighty</w:t>
      </w:r>
    </w:p>
    <w:p>
      <w:pPr>
        <w:spacing w:after="0" w:line="35" w:lineRule="exact"/>
        <w:rPr>
          <w:sz w:val="20"/>
          <w:szCs w:val="20"/>
          <w:color w:val="auto"/>
        </w:rPr>
      </w:pPr>
    </w:p>
    <w:p>
      <w:pPr>
        <w:jc w:val="both"/>
        <w:ind w:firstLine="8"/>
        <w:spacing w:after="0" w:line="25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days out of a period of twelve (12) consecutive months, to perform the essential duties of Employee’s position, even after taking into account any reasonable accommodation required by law, due to a mental or physical impairment. The determination of whether Employee is suffering from a Disability shall be made either (a) by an independent physician, mutually chosen by Employee and the Company; or (b) because Employee qualifies as disabled for purposes of the Company’s long term insurance disability plan, if applicable.</w:t>
      </w:r>
    </w:p>
    <w:p>
      <w:pPr>
        <w:spacing w:after="0" w:line="22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the occurrence of one or more of the events set forth in clauses (a) through (e) below without the prior written consent of Employee, provided that (i) Employee delivers written notice to the Company of Employee’s intention to resign from employment due to one or more of such events, which notice specifies in reasonable detail the circumstances claimed to provide the basis for such resignation, and (ii) such event or events are not cured by the Company within thirty (30) days following delivery of such written notice and (iii) if not cured by the Company, Employee resigns her employment within fifteen (15) days following the Company’s cure period:</w:t>
      </w:r>
    </w:p>
    <w:p>
      <w:pPr>
        <w:spacing w:after="0" w:line="203" w:lineRule="exact"/>
        <w:rPr>
          <w:sz w:val="20"/>
          <w:szCs w:val="20"/>
          <w:color w:val="auto"/>
        </w:rPr>
      </w:pPr>
    </w:p>
    <w:p>
      <w:pPr>
        <w:ind w:left="2240" w:hanging="288"/>
        <w:spacing w:after="0"/>
        <w:tabs>
          <w:tab w:leader="none" w:pos="2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reduction in Employee’s annual rate of Base Compensation unless such reduction is made across all executives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employees of the Company;</w:t>
      </w:r>
    </w:p>
    <w:p>
      <w:pPr>
        <w:spacing w:after="0" w:line="237" w:lineRule="exact"/>
        <w:rPr>
          <w:rFonts w:ascii="Arial" w:cs="Arial" w:eastAsia="Arial" w:hAnsi="Arial"/>
          <w:sz w:val="17"/>
          <w:szCs w:val="17"/>
          <w:color w:val="auto"/>
        </w:rPr>
      </w:pPr>
    </w:p>
    <w:p>
      <w:pPr>
        <w:ind w:firstLine="1952"/>
        <w:spacing w:after="0" w:line="308" w:lineRule="auto"/>
        <w:tabs>
          <w:tab w:leader="none" w:pos="22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termination or material reduction of a material benefit under any Company benefit plans, programs or arrangements, in which the Employee participates unless such termination or reduction is made across all executives or employees of the Company;</w:t>
      </w:r>
    </w:p>
    <w:p>
      <w:pPr>
        <w:spacing w:after="0" w:line="173" w:lineRule="exact"/>
        <w:rPr>
          <w:rFonts w:ascii="Arial" w:cs="Arial" w:eastAsia="Arial" w:hAnsi="Arial"/>
          <w:sz w:val="17"/>
          <w:szCs w:val="17"/>
          <w:color w:val="auto"/>
        </w:rPr>
      </w:pPr>
    </w:p>
    <w:p>
      <w:pPr>
        <w:ind w:left="2200" w:hanging="248"/>
        <w:spacing w:after="0"/>
        <w:tabs>
          <w:tab w:leader="none" w:pos="2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reduction in Employee’s job title, powers or authority;</w:t>
      </w:r>
    </w:p>
    <w:p>
      <w:pPr>
        <w:spacing w:after="0" w:line="252" w:lineRule="exact"/>
        <w:rPr>
          <w:rFonts w:ascii="Arial" w:cs="Arial" w:eastAsia="Arial" w:hAnsi="Arial"/>
          <w:sz w:val="18"/>
          <w:szCs w:val="18"/>
          <w:color w:val="auto"/>
        </w:rPr>
      </w:pPr>
    </w:p>
    <w:p>
      <w:pPr>
        <w:ind w:left="2220" w:hanging="268"/>
        <w:spacing w:after="0"/>
        <w:tabs>
          <w:tab w:leader="none" w:pos="2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material failure to comply with the terms of this Agreement or any stock option or similar agreement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 then in effect;</w:t>
      </w:r>
    </w:p>
    <w:p>
      <w:pPr>
        <w:spacing w:after="0" w:line="237" w:lineRule="exact"/>
        <w:rPr>
          <w:rFonts w:ascii="Arial" w:cs="Arial" w:eastAsia="Arial" w:hAnsi="Arial"/>
          <w:sz w:val="17"/>
          <w:szCs w:val="17"/>
          <w:color w:val="auto"/>
        </w:rPr>
      </w:pPr>
    </w:p>
    <w:p>
      <w:pPr>
        <w:ind w:right="20" w:firstLine="1952"/>
        <w:spacing w:after="0" w:line="277" w:lineRule="auto"/>
        <w:tabs>
          <w:tab w:leader="none" w:pos="21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by the Company that Employee relocate or transfer Employee’s principal office to a location more than 50 miles from Malvern, PA Office (except that the requirement to travel in Section 2.3 shall not trigger this subsection (e)).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have the meaning set forth in Section 8 hereof.</w:t>
      </w:r>
    </w:p>
    <w:p>
      <w:pPr>
        <w:spacing w:after="0" w:line="25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 shall mean a period of nine (9) months immediately following the effective date of termination of Employee’s employment hereunder if such termination is by the Company without Cause or by Employee for Good Reason, including without limitation after a Change of Control.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41" w:name="page42"/>
    <w:bookmarkEnd w:id="41"/>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means any and all securities as such term is defined in Section 2 of the Securities Act of 1933, as amended, including, without limitation, all common stock, preferred stock, convertible promissory notes, subordinated debt instruments, and other securities issued by the Company.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have the meaning set forth in Section 3 hereof</w:t>
      </w:r>
    </w:p>
    <w:p>
      <w:pPr>
        <w:spacing w:after="0" w:line="23" w:lineRule="exact"/>
        <w:rPr>
          <w:sz w:val="20"/>
          <w:szCs w:val="20"/>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Contingent Employment; Employment and Duties</w:t>
      </w:r>
      <w:r>
        <w:rPr>
          <w:rFonts w:ascii="Arial" w:cs="Arial" w:eastAsia="Arial" w:hAnsi="Arial"/>
          <w:sz w:val="18"/>
          <w:szCs w:val="18"/>
          <w:color w:val="auto"/>
        </w:rPr>
        <w: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2.1 Company hereby employs Employee and Employee hereby accepts continued employment as the Vice President, Investor Relations</w:t>
      </w:r>
    </w:p>
    <w:p>
      <w:pPr>
        <w:spacing w:after="0" w:line="46" w:lineRule="exact"/>
        <w:rPr>
          <w:sz w:val="20"/>
          <w:szCs w:val="20"/>
          <w:color w:val="auto"/>
        </w:rPr>
      </w:pPr>
    </w:p>
    <w:p>
      <w:pPr>
        <w:jc w:val="both"/>
        <w:ind w:firstLine="8"/>
        <w:spacing w:after="0" w:line="255" w:lineRule="auto"/>
        <w:tabs>
          <w:tab w:leader="none" w:pos="2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w:t>
      </w:r>
      <w:r>
        <w:rPr>
          <w:rFonts w:ascii="Arial" w:cs="Arial" w:eastAsia="Arial" w:hAnsi="Arial"/>
          <w:sz w:val="18"/>
          <w:szCs w:val="18"/>
          <w:b w:val="1"/>
          <w:bCs w:val="1"/>
          <w:i w:val="1"/>
          <w:iCs w:val="1"/>
          <w:color w:val="auto"/>
        </w:rPr>
        <w:t>Vice President</w:t>
      </w:r>
      <w:r>
        <w:rPr>
          <w:rFonts w:ascii="Arial" w:cs="Arial" w:eastAsia="Arial" w:hAnsi="Arial"/>
          <w:sz w:val="18"/>
          <w:szCs w:val="18"/>
          <w:color w:val="auto"/>
        </w:rPr>
        <w:t>”) reporting to the Chief Executive Officer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CEO</w:t>
      </w:r>
      <w:r>
        <w:rPr>
          <w:rFonts w:ascii="Arial" w:cs="Arial" w:eastAsia="Arial" w:hAnsi="Arial"/>
          <w:sz w:val="18"/>
          <w:szCs w:val="18"/>
          <w:b w:val="1"/>
          <w:bCs w:val="1"/>
          <w:color w:val="auto"/>
        </w:rPr>
        <w:t>”</w:t>
      </w:r>
      <w:r>
        <w:rPr>
          <w:rFonts w:ascii="Arial" w:cs="Arial" w:eastAsia="Arial" w:hAnsi="Arial"/>
          <w:sz w:val="18"/>
          <w:szCs w:val="18"/>
          <w:color w:val="auto"/>
        </w:rPr>
        <w:t>) of the Company. Employee shall be member of the Executive Management Team. Employee shall be responsible for all duties and entitled to all authority customarily assigned to the position of Vice President, including such other duties and such other authority as specified by the CEO.</w:t>
      </w:r>
    </w:p>
    <w:p>
      <w:pPr>
        <w:spacing w:after="0" w:line="21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 Employee shall render such services as are necessary and desirable to protect and advance the best interests of the Company, acting, in all instances, under the supervision of the CEO and in accordance with the policies set by the Company.</w:t>
      </w:r>
    </w:p>
    <w:p>
      <w:pPr>
        <w:spacing w:after="0" w:line="19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2.3 So long as Employee shall remain an employee of the Company, except as provided below, Employee’s entire working time, energy, skill and efforts shall be devoted to the performance of Employee’s duties hereunder in a manner that will faithfully and diligently further the business and interests of the Company; provided, however, that Employee may (i) serve on corporate, civic or charitable boards or committees; (ii) deliver lectures, fulfill speaking engagements or teach at educational institutions; (iii) manage personal passive investments; (iv) limited role as a scientific advisor, so long as the foregoing activities, in the aggregate, do not materially interfere with the performance of Employee’s duties to the Company in accordance with this Agreement; or (iv) undertake such other endeavors as may be consented to by the CEO. Employee will be based out of and shall work from Malvern, PA office provided by the Company or other mutually agreeable office. Employee may be required to travel for up to 50% of Employee’s working time.</w:t>
      </w:r>
    </w:p>
    <w:p>
      <w:pPr>
        <w:spacing w:after="0" w:line="193" w:lineRule="exact"/>
        <w:rPr>
          <w:sz w:val="20"/>
          <w:szCs w:val="20"/>
          <w:color w:val="auto"/>
        </w:rPr>
      </w:pPr>
    </w:p>
    <w:p>
      <w:pPr>
        <w:ind w:right="20" w:firstLine="656"/>
        <w:spacing w:after="0" w:line="277"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Employee’s employment under this Agreement shall commence on the Effective Date and shall continue until Employee’s employment is terminated pursuant to Section 6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52"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4.1 Employee shall receive base compensation at the gross annual rate (without regard to authorized tax or other legally required deductions and withholdings) of $304,300, payable in installments in accordance with the Company’s regular payroll practices in effect from time to time.</w:t>
      </w:r>
    </w:p>
    <w:p>
      <w:pPr>
        <w:spacing w:after="0" w:line="15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7"/>
          <w:szCs w:val="17"/>
          <w:color w:val="auto"/>
        </w:rPr>
        <w:t>4.2 In the sole discretion of the Compensation Committee of the Board (the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and within the guidelines set by the Compensation Committee for the Executive Management Team, the Company may pay to Employee an annual bonus of up to 30% of Employee’s Base Compensation (the “</w:t>
      </w:r>
      <w:r>
        <w:rPr>
          <w:rFonts w:ascii="Arial" w:cs="Arial" w:eastAsia="Arial" w:hAnsi="Arial"/>
          <w:sz w:val="17"/>
          <w:szCs w:val="17"/>
          <w:b w:val="1"/>
          <w:bCs w:val="1"/>
          <w:i w:val="1"/>
          <w:iCs w:val="1"/>
          <w:color w:val="auto"/>
        </w:rPr>
        <w:t>Target Bonus</w:t>
      </w:r>
      <w:r>
        <w:rPr>
          <w:rFonts w:ascii="Arial" w:cs="Arial" w:eastAsia="Arial" w:hAnsi="Arial"/>
          <w:sz w:val="17"/>
          <w:szCs w:val="17"/>
          <w:color w:val="auto"/>
        </w:rPr>
        <w:t>”), based upon performance criteria set for Employee by the Compensation Committee and the CEO and certain other factors, including the Company’s performance, financial stability, availability of cash, industry benchmarks and standards and market conditions. Any annual bonus so awarded shall be payable by February 28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year for the Employee’s performance in the previous year (the “</w:t>
      </w:r>
      <w:r>
        <w:rPr>
          <w:rFonts w:ascii="Arial" w:cs="Arial" w:eastAsia="Arial" w:hAnsi="Arial"/>
          <w:sz w:val="17"/>
          <w:szCs w:val="17"/>
          <w:b w:val="1"/>
          <w:bCs w:val="1"/>
          <w:i w:val="1"/>
          <w:iCs w:val="1"/>
          <w:color w:val="auto"/>
        </w:rPr>
        <w:t>Measuring Year</w:t>
      </w:r>
      <w:r>
        <w:rPr>
          <w:rFonts w:ascii="Arial" w:cs="Arial" w:eastAsia="Arial" w:hAnsi="Arial"/>
          <w:sz w:val="17"/>
          <w:szCs w:val="17"/>
          <w:color w:val="auto"/>
        </w:rPr>
        <w:t>”). To be eligible for an annual bonus, the Employee must be employed on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Measuring Year.</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Fringe Benefits</w:t>
      </w:r>
      <w:r>
        <w:rPr>
          <w:rFonts w:ascii="Arial" w:cs="Arial" w:eastAsia="Arial" w:hAnsi="Arial"/>
          <w:sz w:val="16"/>
          <w:szCs w:val="16"/>
          <w:color w:val="auto"/>
        </w:rPr>
        <w:t>. Employee shall be entitled to the benefits set forth below for so long as Employee’s employment with the Company continues:</w:t>
      </w:r>
    </w:p>
    <w:p>
      <w:pPr>
        <w:spacing w:after="0" w:line="2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5.1 The Company will reimburse Employee for all reasonable and necessary expenses incurred by Employee on behalf or for the benefit of the Company upon receipt of documentation therefor in accordance with the Company’s regular reimbursement procedures and practices in effect from time to time.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Company from time to time may require prior approval for individual expense items in excess of pre-established aggregate amounts for a fixed period or in excess of pre-established amounts for any type of expenditure during any fixed period.</w:t>
      </w:r>
    </w:p>
    <w:p>
      <w:pPr>
        <w:spacing w:after="0" w:line="19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5.2 Upon Employee’s achieving the eligibility requirements therefor, if any, Employee will be eligible to participate in all applicable and established Company benefit plans, programs and arrangements that may exist from time to time (including, without limitation, pension, profit sharing, 401(k) plans, and medical and life insurance programs) on the same terms as apply generally to other similarly situated employees of the Company from time to time. Employee shall be entitled to vacation, sick and other personal time off (PTO) in accordance with the Company’s applicable employee handbook or policies.</w:t>
      </w:r>
    </w:p>
    <w:p>
      <w:pPr>
        <w:spacing w:after="0" w:line="215" w:lineRule="exact"/>
        <w:rPr>
          <w:sz w:val="20"/>
          <w:szCs w:val="20"/>
          <w:color w:val="auto"/>
        </w:rPr>
      </w:pPr>
    </w:p>
    <w:p>
      <w:pPr>
        <w:ind w:left="840" w:hanging="184"/>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Payments to Employee</w:t>
      </w:r>
      <w:r>
        <w:rPr>
          <w:rFonts w:ascii="Arial" w:cs="Arial" w:eastAsia="Arial" w:hAnsi="Arial"/>
          <w:sz w:val="18"/>
          <w:szCs w:val="18"/>
          <w:color w:val="auto"/>
        </w:rPr>
        <w:t>.</w:t>
      </w:r>
    </w:p>
    <w:p>
      <w:pPr>
        <w:spacing w:after="0" w:line="25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6.1 If Employee dies or suffers a Disability during the Term, the Employee’s employment with the Company shall terminate as of the date of death or Disability.</w:t>
      </w:r>
    </w:p>
    <w:p>
      <w:pPr>
        <w:spacing w:after="0" w:line="197"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6.2 Subject to Sections 6.4 and 6.5 below, either Employee or the Company may terminate this Agreement and Employee’s employment hereunder immediately upon written notice to the other party.</w:t>
      </w:r>
    </w:p>
    <w:p>
      <w:pPr>
        <w:spacing w:after="0" w:line="19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6.3 If Employee’s employment terminates for any reason, Employee (or her estate in the event of Employee’s death) shall be entitled to receive a lump sum cash payment equal to the sum of the following: (i) payment of accrued but unpaid Base Compensation up to the date of termination, and any earned but unused paid vacation through the date of termination, if any, (ii) any annual bonus, earned but unpaid for the previous calendar year, if applicable, and (iii) unreimbursed business expenses covered by Section 5.1 hereof.</w:t>
      </w:r>
    </w:p>
    <w:p>
      <w:pPr>
        <w:spacing w:after="0" w:line="21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6.4 In addition to the amounts to be paid to Employee in accordance with the provisions of Section 6.3 above, and except as otherwise provided in Section 6.5, if Employee’s employment is terminated (i) by the Company without Cause or (ii) by Employee for Good Reason, then subject to Section 6.6, Employee shall be entitled to receive the following (collectively, (A) and (B)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Severance Payment</w:t>
      </w:r>
      <w:r>
        <w:rPr>
          <w:rFonts w:ascii="Arial" w:cs="Arial" w:eastAsia="Arial" w:hAnsi="Arial"/>
          <w:sz w:val="16"/>
          <w:szCs w:val="16"/>
          <w:i w:val="1"/>
          <w:iCs w:val="1"/>
          <w:color w:val="auto"/>
        </w:rPr>
        <w:t>”</w:t>
      </w:r>
      <w:r>
        <w:rPr>
          <w:rFonts w:ascii="Arial" w:cs="Arial" w:eastAsia="Arial" w:hAnsi="Arial"/>
          <w:sz w:val="16"/>
          <w:szCs w:val="16"/>
          <w:color w:val="auto"/>
        </w:rPr>
        <w:t>): (A) for the duration of the Severance Period, Employee’s then current Base Compensation minus any applicable taxes, and other withholdings, payable in accordance with the Company’s standard payroll practices; and (B) from the commencement of the Severance Period until the earlier of the expiration of the Severance Period or such date as Employee, may be eligible for health insurance coverage under another employer’s or a spouse’s employer’s health plan, the Company will pay the Employee’s COBRA premium for any applicable health or dental insurance, if she is eligible to elect COBRA continuation coverage.</w:t>
      </w:r>
    </w:p>
    <w:p>
      <w:pPr>
        <w:spacing w:after="0" w:line="19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6.5 If Employee’s employment is terminated (i) by the Company without Cause or (ii) by Employee for Good Reason, in either case within twelve (12) months after a Change of Control, Employee shall be entitled to receive the following (collectively, (A), (B), (C) and (D) the “</w:t>
      </w:r>
      <w:r>
        <w:rPr>
          <w:rFonts w:ascii="Arial" w:cs="Arial" w:eastAsia="Arial" w:hAnsi="Arial"/>
          <w:sz w:val="17"/>
          <w:szCs w:val="17"/>
          <w:b w:val="1"/>
          <w:bCs w:val="1"/>
          <w:i w:val="1"/>
          <w:iCs w:val="1"/>
          <w:color w:val="auto"/>
        </w:rPr>
        <w:t>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Control Severance Payment</w:t>
      </w:r>
      <w:r>
        <w:rPr>
          <w:rFonts w:ascii="Arial" w:cs="Arial" w:eastAsia="Arial" w:hAnsi="Arial"/>
          <w:sz w:val="17"/>
          <w:szCs w:val="17"/>
          <w:color w:val="auto"/>
        </w:rPr>
        <w:t>”), in lieu of the Severance Payment described in Section 6.4 and in addition to the amounts to be paid to Employee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the provisions of Section 6.3 above: (A) for the duration of the Severance Period, Employee’s then current Base Compensation minus any applicable taxes, and other withholdings, payable in accordance with the Company’s standard payroll practices; (B) from the commencement of the Severance Period until the earlier of the expiration of the Severance Period or such date as Employee, may be eligible for health insurance coverage under another employer’s or a spouse’s employer’s health plan, the Company will pay the Employee’s COBRA premium for any applicable health or dental insurance, if she is eligible to elect COBRA continuation coverage; (C) 75% of her then-current Target Bonus payable in a lump sum; and (D) all unvested restricted stock, stock options and other equity incentives awarded to the Employee by the Company will become immediately and automatically fully vested and exercisable (as applicable).</w:t>
      </w:r>
    </w:p>
    <w:p>
      <w:pPr>
        <w:spacing w:after="0" w:line="212"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6.6 Employee shall not be entitled to receive the Severance Payment or Change of Control Severance Payment unless and until Employee executes, and does not revoke as permitted by law, a release in a form reasonably acceptable to the Company that unconditionally releases, waives, and fully and forever discharges the Company and its past and current shareholders, directors, officers, employees, and agents from and against 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17"/>
          <w:szCs w:val="17"/>
          <w:color w:val="auto"/>
        </w:rPr>
        <w:t>and all claims, liabilities, obligations, covenants, rights, demands and damages of any nature whatsoever, whether known or unknown, anticipated or unanticipated, including without limitation, any claims relating to or arising out of Employee’s employment with the Company, claims arising under the Age Discrimination and Employment Act of 1967, as amended, Title VII of the Civil Rights Act of 1964, as amended, or the Civil Rights Act of 1991, or claims arising under the applicable state fair employment laws, but excluding any rights of Employee under any remaining stock option agreements (if any) or other agreements relating to equity in the Company and Employee’s right to indemnification from the Company in respect of her services as a director, officer or employee of the Company or any of its Affiliates. The release shall also contain customary non-disparagement covenants by Employee. Employee’s right to receive the Severance Payment or Change of Control Severance Payment is conditioned upon Employee’s performance of the obligations and covenants contained in this Employment Agreement, the Covenants Agreements (as defined below) and any other agreement between Employee and the Company. In the event of any material breach of any such obligations during or after payment of the Severance Payment or Change of Control Severance Payment, the Company may cease to make any remaining payments.</w:t>
      </w:r>
    </w:p>
    <w:p>
      <w:pPr>
        <w:spacing w:after="0" w:line="21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6.7 Notwithstanding anything in this Agreement to the contrary, all payments to be made upon a termination of employment under this Agreement will only be made upon a “separation from service” within the meaning of Section 409A of the Internal Revenue Code of 1986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To the maximum extent permitted under Section 409A of the Code and its corresponding regulations, the cash severance benefits payable under this Agreement are intended to meet the requirements of the short-term deferral exemption under Section 409A of the Code and the “separation pay exception” under Treas. Reg. §1.409A-1(b)(9)(iii). For purposes of the application of Treas. Reg. § 1.409A-1(b)(4)(or any successor provision), each payment in a series of payments to Employee will be deemed a separate payment. In addition, to the extent compliance with the requirements of Treas. Reg. § 1.409A-3(i)(2) (or any successor provision) is necessary to avoid the application of an additional tax under Section 409A of the Code to payments due to Employee upon or following her “separation from service”, then notwithstanding any other provision of this Agreement (or any otherwise applicable plan, policy, agreement or arrangement), any such payments that are otherwise due within six months following the Employee’s “separation from service” will be deferred without interest and paid to Employee in a lump sum immediately following such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95" w:lineRule="exact"/>
        <w:rPr>
          <w:sz w:val="20"/>
          <w:szCs w:val="20"/>
          <w:color w:val="auto"/>
        </w:rPr>
      </w:pPr>
    </w:p>
    <w:p>
      <w:pPr>
        <w:ind w:left="840" w:hanging="184"/>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Confidential Information, etc.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7.1 Employee acknowledges and agrees that Employee is bound by the Employment Non-Competition Agreement dated as of June 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(the “</w:t>
      </w:r>
      <w:r>
        <w:rPr>
          <w:rFonts w:ascii="Arial" w:cs="Arial" w:eastAsia="Arial" w:hAnsi="Arial"/>
          <w:sz w:val="18"/>
          <w:szCs w:val="18"/>
          <w:b w:val="1"/>
          <w:bCs w:val="1"/>
          <w:i w:val="1"/>
          <w:iCs w:val="1"/>
          <w:color w:val="auto"/>
        </w:rPr>
        <w:t>Non-Competition Agreement</w:t>
      </w:r>
      <w:r>
        <w:rPr>
          <w:rFonts w:ascii="Arial" w:cs="Arial" w:eastAsia="Arial" w:hAnsi="Arial"/>
          <w:sz w:val="18"/>
          <w:szCs w:val="18"/>
          <w:color w:val="auto"/>
        </w:rPr>
        <w:t>”), which shall continue in full force and effect.</w:t>
      </w:r>
    </w:p>
    <w:p>
      <w:pPr>
        <w:spacing w:after="0" w:line="2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7.2 Employee acknowledges and agrees that Employee is bound by the Employee Nondisclosure and Business Ideas Agreement dated as of Employee’s commencement of employment (together with the Non-Competition Agreement, the “</w:t>
      </w:r>
      <w:r>
        <w:rPr>
          <w:rFonts w:ascii="Arial" w:cs="Arial" w:eastAsia="Arial" w:hAnsi="Arial"/>
          <w:sz w:val="18"/>
          <w:szCs w:val="18"/>
          <w:b w:val="1"/>
          <w:bCs w:val="1"/>
          <w:i w:val="1"/>
          <w:iCs w:val="1"/>
          <w:color w:val="auto"/>
        </w:rPr>
        <w:t>Covenants Agreements</w:t>
      </w:r>
      <w:r>
        <w:rPr>
          <w:rFonts w:ascii="Arial" w:cs="Arial" w:eastAsia="Arial" w:hAnsi="Arial"/>
          <w:sz w:val="18"/>
          <w:szCs w:val="18"/>
          <w:color w:val="auto"/>
        </w:rPr>
        <w:t>”), which shall continue in full force and effect.</w:t>
      </w:r>
    </w:p>
    <w:p>
      <w:pPr>
        <w:spacing w:after="0" w:line="211" w:lineRule="exact"/>
        <w:rPr>
          <w:sz w:val="20"/>
          <w:szCs w:val="20"/>
          <w:color w:val="auto"/>
        </w:rPr>
      </w:pPr>
    </w:p>
    <w:p>
      <w:pPr>
        <w:jc w:val="both"/>
        <w:ind w:firstLine="656"/>
        <w:spacing w:after="0" w:line="293" w:lineRule="auto"/>
        <w:tabs>
          <w:tab w:leader="none" w:pos="82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the Company’s Articles of Incorporation and By-laws, the Company shall indemnify Employee to the fullest extent permitted by law against all costs, expenses, liabilities and losses (including, without limitation, attorneys’ fees, judgments, fines, penalties, and amounts paid in settlement) reasonably incurred by Employee in connection with any “Proceeding” (as defined herein). For the purposes of this Section 8,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shall mean any action, suit or proceeding, whether civil, criminal, administrative or investigative, in which Employee is made, or is threatened to be made, a party to, or a witness in, such action, suit or proceeding by reason of the fact that she is or was an officer, director or employee of the Company or is or was serving as an officer, director, member, employee, trustee or agent of any other entity at the request of the Company.</w:t>
      </w:r>
    </w:p>
    <w:p>
      <w:pPr>
        <w:spacing w:after="0" w:line="191" w:lineRule="exact"/>
        <w:rPr>
          <w:rFonts w:ascii="Arial" w:cs="Arial" w:eastAsia="Arial" w:hAnsi="Arial"/>
          <w:sz w:val="16"/>
          <w:szCs w:val="16"/>
          <w:color w:val="auto"/>
        </w:rPr>
      </w:pPr>
    </w:p>
    <w:p>
      <w:pPr>
        <w:ind w:left="840" w:hanging="184"/>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Golden Parachute Tax Provisions</w:t>
      </w:r>
      <w:r>
        <w:rPr>
          <w:rFonts w:ascii="Arial" w:cs="Arial" w:eastAsia="Arial" w:hAnsi="Arial"/>
          <w:sz w:val="18"/>
          <w:szCs w:val="18"/>
          <w:color w:val="auto"/>
        </w:rPr>
        <w:t>.</w:t>
      </w:r>
    </w:p>
    <w:p>
      <w:pPr>
        <w:spacing w:after="0" w:line="25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9.1 In the event that the Company or any of their Affiliates undergoes a Change of Control prior to the time that it (or any Affiliate that would be treated, together with the Company, as a single corporation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Affiliates, would constitute an “excess parachute payment” within the meaning of Section 280G of the Code, the following provisions shall apply:</w:t>
      </w:r>
    </w:p>
    <w:p>
      <w:pPr>
        <w:spacing w:after="0" w:line="198"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9.1.1 The Company or any of applicable Affiliates will cooperate in good faith with Employee such that any such payments or benefits will not be deemed an “excess parachute payment” within the meaning of Section 280G of the Code.</w:t>
      </w:r>
    </w:p>
    <w:p>
      <w:pPr>
        <w:spacing w:after="0" w:line="197"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9.1.2 In the event that any payments or benefits (whether payable pursuant to this Agreement or otherwise) to Employee could be exempt from Section 280G of the Code if the shareholder approval requirements under Section 280G(b)(5) of the Code and the regulations thereunder were met, such payments will be conditioned on shareholder approval in accordance with Section 280G(b)(5)(B) of the Code and regulations thereunder and the Company or any of its applicable Affiliates agrees to use best efforts to seek to obtain such shareholder approval. The actions of the Company or any of its applicable Affiliates pursuant to this provision are not intended to bind, nor shall be construed as binding, the shareholders of the Company or any of its applicable Affiliates.</w:t>
      </w:r>
    </w:p>
    <w:p>
      <w:pPr>
        <w:spacing w:after="0" w:line="21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9.2 In the event that the Company or any of its applicable Affiliates undergoes a Change of Control at such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applicable Affiliates, would constitute an “excess parachute payment” within the meaning of Section 280G of the Code, Employee shall be entitled to receive (i) an amount limited so that no portion thereof shall fail to be tax deductible under Section 280G of the Code or subject to an excise tax under Section 4999 of the Code (the “</w:t>
      </w:r>
      <w:r>
        <w:rPr>
          <w:rFonts w:ascii="Arial" w:cs="Arial" w:eastAsia="Arial" w:hAnsi="Arial"/>
          <w:sz w:val="16"/>
          <w:szCs w:val="16"/>
          <w:b w:val="1"/>
          <w:bCs w:val="1"/>
          <w:i w:val="1"/>
          <w:iCs w:val="1"/>
          <w:color w:val="auto"/>
        </w:rPr>
        <w:t>Limited Amount</w:t>
      </w:r>
      <w:r>
        <w:rPr>
          <w:rFonts w:ascii="Arial" w:cs="Arial" w:eastAsia="Arial" w:hAnsi="Arial"/>
          <w:sz w:val="16"/>
          <w:szCs w:val="16"/>
          <w:color w:val="auto"/>
        </w:rPr>
        <w:t>”), or (ii) if the amount otherwise payable hereunder together with other payments or benefits which Employee receives or is entitled to receive from the Company or any of its applicable Affiliates (without regard to clause (i)) reduced by all taxes applicable thereto (including, for the avoidance of doubt, the excise tax imposed by Section 4999 of the Code) would be greater than the Limited Amount reduced by all taxes applicable thereto, the amount otherwise payable hereunder together with other payments or benefits which Employee receives or is entitled to receive from the Company or any of its applicable Affiliates.</w:t>
      </w:r>
    </w:p>
    <w:p>
      <w:pPr>
        <w:spacing w:after="0" w:line="19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9.3 In the event that any payments under this Agreement or otherwise are required to be reduced as described in this Section 9, the adjustment will be made, first, by reducing the cash severance, if any, due to Employee pursuant to Section 6; second, if additional reductions are necessary, by reducing the payments due to Employee under Section 6.5(C) (Target Bonus) and third, if additional reductions are still necessary, by eliminating the accelerated vesting of equity-based awards, starting with those awards for which the amount required to be taken into account under the Section 280G of the Code rules is the greatest; provided, that in all events, such reductions shall be done in a manner consistent with the requirements of Section 409A of the Code, to the extent applicable.</w:t>
      </w:r>
    </w:p>
    <w:p>
      <w:pPr>
        <w:spacing w:after="0" w:line="219"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Binding Nature of Agreement</w:t>
      </w:r>
      <w:r>
        <w:rPr>
          <w:rFonts w:ascii="Arial" w:cs="Arial" w:eastAsia="Arial" w:hAnsi="Arial"/>
          <w:sz w:val="16"/>
          <w:szCs w:val="16"/>
          <w:color w:val="auto"/>
        </w:rPr>
        <w:t>. This Agreement shall be binding upon the Company and shall inure to the benefit of the Company, its Affiliates, successors and assigns, including any transferee of the business operation, as a going concern, in which Employee is employed and shall be binding upon Employee, Employee’s heirs and personal representatives. None of the rights or obligations of Employee hereunder may be assigned or delegated, except that in the event of Employee’s death or Disability, any rights of Employee hereunder shall be transferred to Employee’s estate or personal representative, as the case may be. The Company may assign its rights and obligations under this Agreement in whole or in part to any one or more Affiliates or successors. Any entity into which the Company is merged or with which the Company is consolidated or which acquires the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of the Company or the business unit in which Employee is to be principally employed shall be deemed to be a successor of the Company for purposes hereof.</w:t>
      </w:r>
    </w:p>
    <w:p>
      <w:pPr>
        <w:spacing w:after="0" w:line="19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its Exhibit and the Covenants Agreements, contains the entire understanding among the parties hereto with respect to the subject matter hereof, and supersedes all prior and contemporaneous agreements and understandings, inducements or conditions, express or implied, oral or written, including without limitation, the Prior Agreement. The express terms hereof control and supersede any course of performance and/or usage of the trade inconsistent with any of the terms hereof. Notwithstanding the foregoing, nothing herein shall limit the application of any generally applicable Company policy, practice, plan or the terms of any manual or handbook applicable to the Company’s employees generally.</w:t>
      </w:r>
    </w:p>
    <w:p>
      <w:pPr>
        <w:spacing w:after="0" w:line="21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required or permitted to be given under this Agreement shall be in writing and shall be deemed to have been duly given if delivered personally, or mailed first-class, postage prepaid, by registered or certified mail (notices sent by mail shall be deemed to have been given on the third day after the date sent), or by nationally recognized overnight carrier(notices sent by overnight shall be deemed to have been given on the day after the date sent) or by confirmed facsimile or electronic mail transmission with a hard copy deposited in first class mail the same day or the following day, as follows (or to such other address as either party shall designate by notice in writing to the other):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Company:</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Ocugen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Five Great Valley Parkway, Suite # 160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Shankar Musunuri</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 to the address on file with the Company.</w:t>
      </w:r>
    </w:p>
    <w:p>
      <w:pPr>
        <w:spacing w:after="0" w:line="200" w:lineRule="exact"/>
        <w:rPr>
          <w:sz w:val="20"/>
          <w:szCs w:val="20"/>
          <w:color w:val="auto"/>
        </w:rPr>
      </w:pPr>
    </w:p>
    <w:p>
      <w:pPr>
        <w:spacing w:after="0" w:line="3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shall be governed by the laws of Delaware.</w:t>
      </w:r>
    </w:p>
    <w:p>
      <w:pPr>
        <w:spacing w:after="0" w:line="25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for reference purposes only and shall not in any way affect the meaning or interpretation of this Agreement.</w:t>
      </w:r>
    </w:p>
    <w:p>
      <w:pPr>
        <w:spacing w:after="0" w:line="19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modified, superseded, canceled, renewed, or extended and the terms or covenants of this Agreement may be waived, only by a written instrument executed by both of the parties, or in the case of a waiver, by the party waiving compliance.</w:t>
      </w:r>
    </w:p>
    <w:p>
      <w:pPr>
        <w:spacing w:after="0" w:line="15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either party at any time or times to require performance of any provision of this Agreement shall in no manner affect the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21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constitute an original and all of which taken together shall constitute one and the same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46" w:name="page47"/>
    <w:bookmarkEnd w:id="46"/>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Agreement on the date first above written.</w:t>
      </w:r>
    </w:p>
    <w:p>
      <w:pPr>
        <w:sectPr>
          <w:pgSz w:w="11900" w:h="16838" w:orient="portrait"/>
          <w:cols w:equalWidth="0" w:num="1">
            <w:col w:w="9479"/>
          </w:cols>
          <w:pgMar w:left="980" w:top="1440" w:right="1440" w:bottom="1440" w:gutter="0" w:footer="0" w:header="0"/>
        </w:sectPr>
      </w:pPr>
    </w:p>
    <w:p>
      <w:pPr>
        <w:spacing w:after="0" w:line="27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OCUGEN, INC.</w:t>
      </w:r>
    </w:p>
    <w:p>
      <w:pPr>
        <w:spacing w:after="0" w:line="391" w:lineRule="exact"/>
        <w:rPr>
          <w:sz w:val="20"/>
          <w:szCs w:val="20"/>
          <w:color w:val="auto"/>
        </w:rPr>
      </w:pPr>
    </w:p>
    <w:tbl>
      <w:tblPr>
        <w:tblLayout w:type="fixed"/>
        <w:tblInd w:w="32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800"/>
              <w:spacing w:after="0"/>
              <w:rPr>
                <w:sz w:val="20"/>
                <w:szCs w:val="20"/>
                <w:color w:val="auto"/>
              </w:rPr>
            </w:pPr>
            <w:r>
              <w:rPr>
                <w:rFonts w:ascii="Arial" w:cs="Arial" w:eastAsia="Arial" w:hAnsi="Arial"/>
                <w:sz w:val="18"/>
                <w:szCs w:val="18"/>
                <w:color w:val="auto"/>
              </w:rPr>
              <w:t>/s/ Shankar Musunuri</w:t>
            </w:r>
          </w:p>
        </w:tc>
      </w:tr>
      <w:tr>
        <w:trPr>
          <w:trHeight w:val="27"/>
        </w:trPr>
        <w:tc>
          <w:tcPr>
            <w:tcW w:w="3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Shankar Musunuri</w:t>
            </w:r>
          </w:p>
        </w:tc>
      </w:tr>
    </w:tbl>
    <w:p>
      <w:pPr>
        <w:spacing w:after="0" w:line="296"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Chairman and CEO</w:t>
      </w:r>
    </w:p>
    <w:p>
      <w:pPr>
        <w:spacing w:after="0" w:line="3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EMPLOYEE:</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Kelly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25114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Kelly A. Beck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Employment Agreement</w:t>
      </w:r>
      <w:r>
        <w:rPr>
          <w:rFonts w:ascii="Arial" w:cs="Arial" w:eastAsia="Arial" w:hAnsi="Arial"/>
          <w:sz w:val="21"/>
          <w:szCs w:val="21"/>
          <w:color w:val="auto"/>
        </w:rPr>
        <w:t>]</w:t>
      </w:r>
    </w:p>
    <w:p>
      <w:pPr>
        <w:sectPr>
          <w:pgSz w:w="11900" w:h="16838" w:orient="portrait"/>
          <w:cols w:equalWidth="0" w:num="1">
            <w:col w:w="9479"/>
          </w:cols>
          <w:pgMar w:left="980" w:top="1440" w:right="1440" w:bottom="1440" w:gutter="0" w:footer="0" w:header="0"/>
          <w:type w:val="continuous"/>
        </w:sectPr>
      </w:pPr>
    </w:p>
    <w:bookmarkStart w:id="47" w:name="page48"/>
    <w:bookmarkEnd w:id="47"/>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1A1A1A"/>
        </w:rPr>
        <w:t>AMENDMENT TO EXECUTIVE EMPLOYMENT AGREEMENT</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1A1A1A"/>
        </w:rPr>
        <w:t xml:space="preserve">THIS AMENDMENT </w:t>
      </w:r>
      <w:r>
        <w:rPr>
          <w:rFonts w:ascii="Arial" w:cs="Arial" w:eastAsia="Arial" w:hAnsi="Arial"/>
          <w:sz w:val="18"/>
          <w:szCs w:val="18"/>
          <w:color w:val="1A1A1A"/>
        </w:rPr>
        <w:t>(this</w:t>
      </w:r>
      <w:r>
        <w:rPr>
          <w:rFonts w:ascii="Arial" w:cs="Arial" w:eastAsia="Arial" w:hAnsi="Arial"/>
          <w:sz w:val="18"/>
          <w:szCs w:val="18"/>
          <w:b w:val="1"/>
          <w:bCs w:val="1"/>
          <w:color w:val="1A1A1A"/>
        </w:rPr>
        <w:t xml:space="preserve"> </w:t>
      </w:r>
      <w:r>
        <w:rPr>
          <w:rFonts w:ascii="Arial" w:cs="Arial" w:eastAsia="Arial" w:hAnsi="Arial"/>
          <w:sz w:val="18"/>
          <w:szCs w:val="18"/>
          <w:color w:val="414141"/>
        </w:rPr>
        <w:t>“</w:t>
      </w:r>
      <w:r>
        <w:rPr>
          <w:rFonts w:ascii="Arial" w:cs="Arial" w:eastAsia="Arial" w:hAnsi="Arial"/>
          <w:sz w:val="18"/>
          <w:szCs w:val="18"/>
          <w:b w:val="1"/>
          <w:bCs w:val="1"/>
          <w:color w:val="1A1A1A"/>
        </w:rPr>
        <w:t xml:space="preserve"> </w:t>
      </w:r>
      <w:r>
        <w:rPr>
          <w:rFonts w:ascii="Arial" w:cs="Arial" w:eastAsia="Arial" w:hAnsi="Arial"/>
          <w:sz w:val="18"/>
          <w:szCs w:val="18"/>
          <w:color w:val="1A1A1A"/>
        </w:rPr>
        <w:t>Amendment”), dated as of January l, 2020 is made by and between Ocugen, Inc</w:t>
      </w:r>
      <w:r>
        <w:rPr>
          <w:rFonts w:ascii="Arial" w:cs="Arial" w:eastAsia="Arial" w:hAnsi="Arial"/>
          <w:sz w:val="18"/>
          <w:szCs w:val="18"/>
          <w:color w:val="414141"/>
        </w:rPr>
        <w:t>.</w:t>
      </w:r>
      <w:r>
        <w:rPr>
          <w:rFonts w:ascii="Arial" w:cs="Arial" w:eastAsia="Arial" w:hAnsi="Arial"/>
          <w:sz w:val="18"/>
          <w:szCs w:val="18"/>
          <w:b w:val="1"/>
          <w:bCs w:val="1"/>
          <w:color w:val="1A1A1A"/>
        </w:rPr>
        <w:t xml:space="preserve"> </w:t>
      </w:r>
      <w:r>
        <w:rPr>
          <w:rFonts w:ascii="Arial" w:cs="Arial" w:eastAsia="Arial" w:hAnsi="Arial"/>
          <w:sz w:val="18"/>
          <w:szCs w:val="18"/>
          <w:color w:val="1A1A1A"/>
        </w:rPr>
        <w:t>(the “Company”) and Sanjay</w:t>
      </w:r>
      <w:r>
        <w:rPr>
          <w:rFonts w:ascii="Arial" w:cs="Arial" w:eastAsia="Arial" w:hAnsi="Arial"/>
          <w:sz w:val="18"/>
          <w:szCs w:val="18"/>
          <w:b w:val="1"/>
          <w:bCs w:val="1"/>
          <w:color w:val="1A1A1A"/>
        </w:rPr>
        <w:t xml:space="preserve"> </w:t>
      </w:r>
      <w:r>
        <w:rPr>
          <w:rFonts w:ascii="Arial" w:cs="Arial" w:eastAsia="Arial" w:hAnsi="Arial"/>
          <w:sz w:val="18"/>
          <w:szCs w:val="18"/>
          <w:color w:val="1A1A1A"/>
        </w:rPr>
        <w:t xml:space="preserve">Subramanian (the </w:t>
      </w:r>
      <w:r>
        <w:rPr>
          <w:rFonts w:ascii="Arial" w:cs="Arial" w:eastAsia="Arial" w:hAnsi="Arial"/>
          <w:sz w:val="18"/>
          <w:szCs w:val="18"/>
          <w:color w:val="313131"/>
        </w:rPr>
        <w:t>“Executive”).</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1A1A1A"/>
        </w:rPr>
        <w:t xml:space="preserve">WHEREAS, </w:t>
      </w:r>
      <w:r>
        <w:rPr>
          <w:rFonts w:ascii="Arial" w:cs="Arial" w:eastAsia="Arial" w:hAnsi="Arial"/>
          <w:sz w:val="18"/>
          <w:szCs w:val="18"/>
          <w:color w:val="1A1A1A"/>
        </w:rPr>
        <w:t>the Company and the Executive are parties to an Executive Employment Agreement, dated as of September 10, 2019 (the</w:t>
      </w:r>
      <w:r>
        <w:rPr>
          <w:rFonts w:ascii="Arial" w:cs="Arial" w:eastAsia="Arial" w:hAnsi="Arial"/>
          <w:sz w:val="18"/>
          <w:szCs w:val="18"/>
          <w:b w:val="1"/>
          <w:bCs w:val="1"/>
          <w:color w:val="1A1A1A"/>
        </w:rPr>
        <w:t xml:space="preserve"> </w:t>
      </w:r>
      <w:r>
        <w:rPr>
          <w:rFonts w:ascii="Arial" w:cs="Arial" w:eastAsia="Arial" w:hAnsi="Arial"/>
          <w:sz w:val="18"/>
          <w:szCs w:val="18"/>
          <w:color w:val="313131"/>
        </w:rPr>
        <w:t xml:space="preserve">“Employment </w:t>
      </w:r>
      <w:r>
        <w:rPr>
          <w:rFonts w:ascii="Arial" w:cs="Arial" w:eastAsia="Arial" w:hAnsi="Arial"/>
          <w:sz w:val="18"/>
          <w:szCs w:val="18"/>
          <w:color w:val="1A1A1A"/>
        </w:rPr>
        <w:t>Agreement</w:t>
      </w:r>
      <w:r>
        <w:rPr>
          <w:rFonts w:ascii="Arial" w:cs="Arial" w:eastAsia="Arial" w:hAnsi="Arial"/>
          <w:sz w:val="18"/>
          <w:szCs w:val="18"/>
          <w:color w:val="414141"/>
        </w:rPr>
        <w:t>”</w:t>
      </w:r>
      <w:r>
        <w:rPr>
          <w:rFonts w:ascii="Arial" w:cs="Arial" w:eastAsia="Arial" w:hAnsi="Arial"/>
          <w:sz w:val="18"/>
          <w:szCs w:val="18"/>
          <w:color w:val="1A1A1A"/>
        </w:rPr>
        <w:t>);</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1A1A1A"/>
        </w:rPr>
        <w:t>WHEREAS</w:t>
      </w:r>
      <w:r>
        <w:rPr>
          <w:rFonts w:ascii="Arial" w:cs="Arial" w:eastAsia="Arial" w:hAnsi="Arial"/>
          <w:sz w:val="18"/>
          <w:szCs w:val="18"/>
          <w:b w:val="1"/>
          <w:bCs w:val="1"/>
          <w:color w:val="414141"/>
        </w:rPr>
        <w:t>,</w:t>
      </w:r>
      <w:r>
        <w:rPr>
          <w:rFonts w:ascii="Arial" w:cs="Arial" w:eastAsia="Arial" w:hAnsi="Arial"/>
          <w:sz w:val="18"/>
          <w:szCs w:val="18"/>
          <w:b w:val="1"/>
          <w:bCs w:val="1"/>
          <w:color w:val="1A1A1A"/>
        </w:rPr>
        <w:t xml:space="preserve"> </w:t>
      </w:r>
      <w:r>
        <w:rPr>
          <w:rFonts w:ascii="Arial" w:cs="Arial" w:eastAsia="Arial" w:hAnsi="Arial"/>
          <w:sz w:val="18"/>
          <w:szCs w:val="18"/>
          <w:color w:val="1A1A1A"/>
        </w:rPr>
        <w:t>Section 10.6 of the Employment Agreement provides that the Company and the Executive may amend the Employment</w:t>
      </w:r>
      <w:r>
        <w:rPr>
          <w:rFonts w:ascii="Arial" w:cs="Arial" w:eastAsia="Arial" w:hAnsi="Arial"/>
          <w:sz w:val="18"/>
          <w:szCs w:val="18"/>
          <w:b w:val="1"/>
          <w:bCs w:val="1"/>
          <w:color w:val="1A1A1A"/>
        </w:rPr>
        <w:t xml:space="preserve"> </w:t>
      </w:r>
      <w:r>
        <w:rPr>
          <w:rFonts w:ascii="Arial" w:cs="Arial" w:eastAsia="Arial" w:hAnsi="Arial"/>
          <w:sz w:val="18"/>
          <w:szCs w:val="18"/>
          <w:color w:val="1A1A1A"/>
        </w:rPr>
        <w:t>Agreement by mutual agreement in writing; and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1A1A1A"/>
        </w:rPr>
        <w:t xml:space="preserve">WHEREAS, </w:t>
      </w:r>
      <w:r>
        <w:rPr>
          <w:rFonts w:ascii="Arial" w:cs="Arial" w:eastAsia="Arial" w:hAnsi="Arial"/>
          <w:sz w:val="18"/>
          <w:szCs w:val="18"/>
          <w:color w:val="1A1A1A"/>
        </w:rPr>
        <w:t>the Company and the Executive desire to amend the Employment Agreement as set forth herein (the</w:t>
      </w:r>
      <w:r>
        <w:rPr>
          <w:rFonts w:ascii="Arial" w:cs="Arial" w:eastAsia="Arial" w:hAnsi="Arial"/>
          <w:sz w:val="18"/>
          <w:szCs w:val="18"/>
          <w:b w:val="1"/>
          <w:bCs w:val="1"/>
          <w:color w:val="1A1A1A"/>
        </w:rPr>
        <w:t xml:space="preserve"> </w:t>
      </w:r>
      <w:r>
        <w:rPr>
          <w:rFonts w:ascii="Arial" w:cs="Arial" w:eastAsia="Arial" w:hAnsi="Arial"/>
          <w:sz w:val="18"/>
          <w:szCs w:val="18"/>
          <w:color w:val="414141"/>
        </w:rPr>
        <w:t>“</w:t>
      </w:r>
      <w:r>
        <w:rPr>
          <w:rFonts w:ascii="Arial" w:cs="Arial" w:eastAsia="Arial" w:hAnsi="Arial"/>
          <w:sz w:val="18"/>
          <w:szCs w:val="18"/>
          <w:color w:val="1A1A1A"/>
        </w:rPr>
        <w:t>Amendment”).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1A1A1A"/>
        </w:rPr>
        <w:t>NOW THEREFORE</w:t>
      </w:r>
      <w:r>
        <w:rPr>
          <w:rFonts w:ascii="Arial" w:cs="Arial" w:eastAsia="Arial" w:hAnsi="Arial"/>
          <w:sz w:val="18"/>
          <w:szCs w:val="18"/>
          <w:b w:val="1"/>
          <w:bCs w:val="1"/>
          <w:color w:val="414141"/>
        </w:rPr>
        <w:t>,</w:t>
      </w:r>
      <w:r>
        <w:rPr>
          <w:rFonts w:ascii="Arial" w:cs="Arial" w:eastAsia="Arial" w:hAnsi="Arial"/>
          <w:sz w:val="18"/>
          <w:szCs w:val="18"/>
          <w:b w:val="1"/>
          <w:bCs w:val="1"/>
          <w:color w:val="1A1A1A"/>
        </w:rPr>
        <w:t xml:space="preserve"> </w:t>
      </w:r>
      <w:r>
        <w:rPr>
          <w:rFonts w:ascii="Arial" w:cs="Arial" w:eastAsia="Arial" w:hAnsi="Arial"/>
          <w:sz w:val="18"/>
          <w:szCs w:val="18"/>
          <w:color w:val="1A1A1A"/>
        </w:rPr>
        <w:t>in consideration of the premises and the mutual benefits to be derived herefrom and other good and valuable</w:t>
      </w:r>
      <w:r>
        <w:rPr>
          <w:rFonts w:ascii="Arial" w:cs="Arial" w:eastAsia="Arial" w:hAnsi="Arial"/>
          <w:sz w:val="18"/>
          <w:szCs w:val="18"/>
          <w:b w:val="1"/>
          <w:bCs w:val="1"/>
          <w:color w:val="1A1A1A"/>
        </w:rPr>
        <w:t xml:space="preserve"> </w:t>
      </w:r>
      <w:r>
        <w:rPr>
          <w:rFonts w:ascii="Arial" w:cs="Arial" w:eastAsia="Arial" w:hAnsi="Arial"/>
          <w:sz w:val="18"/>
          <w:szCs w:val="18"/>
          <w:color w:val="1A1A1A"/>
        </w:rPr>
        <w:t>consideration</w:t>
      </w:r>
      <w:r>
        <w:rPr>
          <w:rFonts w:ascii="Arial" w:cs="Arial" w:eastAsia="Arial" w:hAnsi="Arial"/>
          <w:sz w:val="18"/>
          <w:szCs w:val="18"/>
          <w:color w:val="414141"/>
        </w:rPr>
        <w:t>,</w:t>
      </w:r>
      <w:r>
        <w:rPr>
          <w:rFonts w:ascii="Arial" w:cs="Arial" w:eastAsia="Arial" w:hAnsi="Arial"/>
          <w:sz w:val="18"/>
          <w:szCs w:val="18"/>
          <w:color w:val="1A1A1A"/>
        </w:rPr>
        <w:t xml:space="preserve"> the receipt and sufficiency of which are hereby acknowledged, the parties agree as follows</w:t>
      </w:r>
      <w:r>
        <w:rPr>
          <w:rFonts w:ascii="Arial" w:cs="Arial" w:eastAsia="Arial" w:hAnsi="Arial"/>
          <w:sz w:val="18"/>
          <w:szCs w:val="18"/>
          <w:color w:val="414141"/>
        </w:rPr>
        <w:t>:</w:t>
      </w:r>
    </w:p>
    <w:p>
      <w:pPr>
        <w:spacing w:after="0" w:line="166" w:lineRule="exact"/>
        <w:rPr>
          <w:sz w:val="20"/>
          <w:szCs w:val="20"/>
          <w:color w:val="auto"/>
        </w:rPr>
      </w:pPr>
    </w:p>
    <w:p>
      <w:pPr>
        <w:ind w:left="1120" w:hanging="522"/>
        <w:spacing w:after="0"/>
        <w:tabs>
          <w:tab w:leader="none" w:pos="1120" w:val="left"/>
        </w:tabs>
        <w:numPr>
          <w:ilvl w:val="0"/>
          <w:numId w:val="33"/>
        </w:numPr>
        <w:rPr>
          <w:rFonts w:ascii="Arial" w:cs="Arial" w:eastAsia="Arial" w:hAnsi="Arial"/>
          <w:sz w:val="18"/>
          <w:szCs w:val="18"/>
          <w:color w:val="1A1A1A"/>
        </w:rPr>
      </w:pPr>
      <w:r>
        <w:rPr>
          <w:rFonts w:ascii="Arial" w:cs="Arial" w:eastAsia="Arial" w:hAnsi="Arial"/>
          <w:sz w:val="18"/>
          <w:szCs w:val="18"/>
          <w:color w:val="1A1A1A"/>
        </w:rPr>
        <w:t>Section 4.1 of the Employment Agreement is hereby amended in its entirety to read as follows:</w:t>
      </w:r>
    </w:p>
    <w:p>
      <w:pPr>
        <w:spacing w:after="0" w:line="225" w:lineRule="exact"/>
        <w:rPr>
          <w:sz w:val="20"/>
          <w:szCs w:val="20"/>
          <w:color w:val="auto"/>
        </w:rPr>
      </w:pPr>
    </w:p>
    <w:p>
      <w:pPr>
        <w:jc w:val="both"/>
        <w:ind w:left="1300" w:right="1420" w:hanging="4"/>
        <w:spacing w:after="0" w:line="286" w:lineRule="auto"/>
        <w:rPr>
          <w:sz w:val="20"/>
          <w:szCs w:val="20"/>
          <w:color w:val="auto"/>
        </w:rPr>
      </w:pPr>
      <w:r>
        <w:rPr>
          <w:rFonts w:ascii="Arial" w:cs="Arial" w:eastAsia="Arial" w:hAnsi="Arial"/>
          <w:sz w:val="17"/>
          <w:szCs w:val="17"/>
          <w:color w:val="414141"/>
        </w:rPr>
        <w:t>“</w:t>
      </w:r>
      <w:r>
        <w:rPr>
          <w:rFonts w:ascii="Arial" w:cs="Arial" w:eastAsia="Arial" w:hAnsi="Arial"/>
          <w:sz w:val="17"/>
          <w:szCs w:val="17"/>
          <w:color w:val="1A1A1A"/>
        </w:rPr>
        <w:t>Effective as of January 1, 2020, Employee shall receive Base Compensation at the gross annual rate (without</w:t>
      </w:r>
      <w:r>
        <w:rPr>
          <w:rFonts w:ascii="Arial" w:cs="Arial" w:eastAsia="Arial" w:hAnsi="Arial"/>
          <w:sz w:val="17"/>
          <w:szCs w:val="17"/>
          <w:color w:val="414141"/>
        </w:rPr>
        <w:t xml:space="preserve"> </w:t>
      </w:r>
      <w:r>
        <w:rPr>
          <w:rFonts w:ascii="Arial" w:cs="Arial" w:eastAsia="Arial" w:hAnsi="Arial"/>
          <w:sz w:val="17"/>
          <w:szCs w:val="17"/>
          <w:color w:val="1A1A1A"/>
        </w:rPr>
        <w:t>regard to authorized tax or other legally required deductions and withholdings) of $365,400</w:t>
      </w:r>
      <w:r>
        <w:rPr>
          <w:rFonts w:ascii="Arial" w:cs="Arial" w:eastAsia="Arial" w:hAnsi="Arial"/>
          <w:sz w:val="17"/>
          <w:szCs w:val="17"/>
          <w:color w:val="414141"/>
        </w:rPr>
        <w:t>,</w:t>
      </w:r>
      <w:r>
        <w:rPr>
          <w:rFonts w:ascii="Arial" w:cs="Arial" w:eastAsia="Arial" w:hAnsi="Arial"/>
          <w:sz w:val="17"/>
          <w:szCs w:val="17"/>
          <w:color w:val="1A1A1A"/>
        </w:rPr>
        <w:t xml:space="preserve"> payable in installments in accordance with the Company‘s regular payroll practices in effect from time to time</w:t>
      </w:r>
      <w:r>
        <w:rPr>
          <w:rFonts w:ascii="Arial" w:cs="Arial" w:eastAsia="Arial" w:hAnsi="Arial"/>
          <w:sz w:val="17"/>
          <w:szCs w:val="17"/>
          <w:color w:val="414141"/>
        </w:rPr>
        <w:t>.”</w:t>
      </w:r>
    </w:p>
    <w:p>
      <w:pPr>
        <w:spacing w:after="0" w:line="165" w:lineRule="exact"/>
        <w:rPr>
          <w:sz w:val="20"/>
          <w:szCs w:val="20"/>
          <w:color w:val="auto"/>
        </w:rPr>
      </w:pPr>
    </w:p>
    <w:p>
      <w:pPr>
        <w:ind w:left="1120" w:hanging="522"/>
        <w:spacing w:after="0"/>
        <w:tabs>
          <w:tab w:leader="none" w:pos="1120" w:val="left"/>
        </w:tabs>
        <w:numPr>
          <w:ilvl w:val="0"/>
          <w:numId w:val="34"/>
        </w:numPr>
        <w:rPr>
          <w:rFonts w:ascii="Arial" w:cs="Arial" w:eastAsia="Arial" w:hAnsi="Arial"/>
          <w:sz w:val="18"/>
          <w:szCs w:val="18"/>
          <w:color w:val="1A1A1A"/>
        </w:rPr>
      </w:pPr>
      <w:r>
        <w:rPr>
          <w:rFonts w:ascii="Arial" w:cs="Arial" w:eastAsia="Arial" w:hAnsi="Arial"/>
          <w:sz w:val="18"/>
          <w:szCs w:val="18"/>
          <w:color w:val="1A1A1A"/>
        </w:rPr>
        <w:t>Section 4.2 of the Employment Agreement is hereby amended in its entirety to read as follows:</w:t>
      </w:r>
    </w:p>
    <w:p>
      <w:pPr>
        <w:spacing w:after="0" w:line="225" w:lineRule="exact"/>
        <w:rPr>
          <w:sz w:val="20"/>
          <w:szCs w:val="20"/>
          <w:color w:val="auto"/>
        </w:rPr>
      </w:pPr>
    </w:p>
    <w:p>
      <w:pPr>
        <w:jc w:val="both"/>
        <w:ind w:left="1300" w:right="1400" w:hanging="3"/>
        <w:spacing w:after="0" w:line="281" w:lineRule="auto"/>
        <w:rPr>
          <w:sz w:val="20"/>
          <w:szCs w:val="20"/>
          <w:color w:val="auto"/>
        </w:rPr>
      </w:pPr>
      <w:r>
        <w:rPr>
          <w:rFonts w:ascii="Arial" w:cs="Arial" w:eastAsia="Arial" w:hAnsi="Arial"/>
          <w:sz w:val="16"/>
          <w:szCs w:val="16"/>
          <w:color w:val="1A1A1A"/>
        </w:rPr>
        <w:t>“In the sole discretion of the CEO within the guidelines set by the Board for the Executive Management Team</w:t>
      </w:r>
      <w:r>
        <w:rPr>
          <w:rFonts w:ascii="Arial" w:cs="Arial" w:eastAsia="Arial" w:hAnsi="Arial"/>
          <w:sz w:val="16"/>
          <w:szCs w:val="16"/>
          <w:color w:val="414141"/>
        </w:rPr>
        <w:t>,</w:t>
      </w:r>
      <w:r>
        <w:rPr>
          <w:rFonts w:ascii="Arial" w:cs="Arial" w:eastAsia="Arial" w:hAnsi="Arial"/>
          <w:sz w:val="16"/>
          <w:szCs w:val="16"/>
          <w:color w:val="1A1A1A"/>
        </w:rPr>
        <w:t xml:space="preserve"> the Company may pay to Employee an annual bonus at a target level of 35% (beginning with the Company</w:t>
      </w:r>
      <w:r>
        <w:rPr>
          <w:rFonts w:ascii="Arial" w:cs="Arial" w:eastAsia="Arial" w:hAnsi="Arial"/>
          <w:sz w:val="16"/>
          <w:szCs w:val="16"/>
          <w:color w:val="565656"/>
        </w:rPr>
        <w:t>‘</w:t>
      </w:r>
      <w:r>
        <w:rPr>
          <w:rFonts w:ascii="Arial" w:cs="Arial" w:eastAsia="Arial" w:hAnsi="Arial"/>
          <w:sz w:val="16"/>
          <w:szCs w:val="16"/>
          <w:color w:val="1A1A1A"/>
        </w:rPr>
        <w:t>s 2020 fiscal year) of Employee</w:t>
      </w:r>
      <w:r>
        <w:rPr>
          <w:rFonts w:ascii="Arial" w:cs="Arial" w:eastAsia="Arial" w:hAnsi="Arial"/>
          <w:sz w:val="16"/>
          <w:szCs w:val="16"/>
          <w:color w:val="414141"/>
        </w:rPr>
        <w:t>‘</w:t>
      </w:r>
      <w:r>
        <w:rPr>
          <w:rFonts w:ascii="Arial" w:cs="Arial" w:eastAsia="Arial" w:hAnsi="Arial"/>
          <w:sz w:val="16"/>
          <w:szCs w:val="16"/>
          <w:color w:val="1A1A1A"/>
        </w:rPr>
        <w:t xml:space="preserve">s Base Compensation (the </w:t>
      </w:r>
      <w:r>
        <w:rPr>
          <w:rFonts w:ascii="Arial" w:cs="Arial" w:eastAsia="Arial" w:hAnsi="Arial"/>
          <w:sz w:val="16"/>
          <w:szCs w:val="16"/>
          <w:color w:val="313131"/>
        </w:rPr>
        <w:t>“Target</w:t>
      </w:r>
      <w:r>
        <w:rPr>
          <w:rFonts w:ascii="Arial" w:cs="Arial" w:eastAsia="Arial" w:hAnsi="Arial"/>
          <w:sz w:val="16"/>
          <w:szCs w:val="16"/>
          <w:color w:val="1A1A1A"/>
        </w:rPr>
        <w:t xml:space="preserve"> Bonus”)</w:t>
      </w:r>
      <w:r>
        <w:rPr>
          <w:rFonts w:ascii="Arial" w:cs="Arial" w:eastAsia="Arial" w:hAnsi="Arial"/>
          <w:sz w:val="16"/>
          <w:szCs w:val="16"/>
          <w:color w:val="414141"/>
        </w:rPr>
        <w:t>,</w:t>
      </w:r>
      <w:r>
        <w:rPr>
          <w:rFonts w:ascii="Arial" w:cs="Arial" w:eastAsia="Arial" w:hAnsi="Arial"/>
          <w:sz w:val="16"/>
          <w:szCs w:val="16"/>
          <w:color w:val="1A1A1A"/>
        </w:rPr>
        <w:t xml:space="preserve"> based upon performance criteria set for Employee by the Board and certain other factors</w:t>
      </w:r>
      <w:r>
        <w:rPr>
          <w:rFonts w:ascii="Arial" w:cs="Arial" w:eastAsia="Arial" w:hAnsi="Arial"/>
          <w:sz w:val="16"/>
          <w:szCs w:val="16"/>
          <w:color w:val="414141"/>
        </w:rPr>
        <w:t>,</w:t>
      </w:r>
      <w:r>
        <w:rPr>
          <w:rFonts w:ascii="Arial" w:cs="Arial" w:eastAsia="Arial" w:hAnsi="Arial"/>
          <w:sz w:val="16"/>
          <w:szCs w:val="16"/>
          <w:color w:val="1A1A1A"/>
        </w:rPr>
        <w:t xml:space="preserve"> including the Company</w:t>
      </w:r>
      <w:r>
        <w:rPr>
          <w:rFonts w:ascii="Arial" w:cs="Arial" w:eastAsia="Arial" w:hAnsi="Arial"/>
          <w:sz w:val="16"/>
          <w:szCs w:val="16"/>
          <w:color w:val="414141"/>
        </w:rPr>
        <w:t>‘</w:t>
      </w:r>
      <w:r>
        <w:rPr>
          <w:rFonts w:ascii="Arial" w:cs="Arial" w:eastAsia="Arial" w:hAnsi="Arial"/>
          <w:sz w:val="16"/>
          <w:szCs w:val="16"/>
          <w:color w:val="1A1A1A"/>
        </w:rPr>
        <w:t>s performance</w:t>
      </w:r>
      <w:r>
        <w:rPr>
          <w:rFonts w:ascii="Arial" w:cs="Arial" w:eastAsia="Arial" w:hAnsi="Arial"/>
          <w:sz w:val="16"/>
          <w:szCs w:val="16"/>
          <w:color w:val="414141"/>
        </w:rPr>
        <w:t>,</w:t>
      </w:r>
      <w:r>
        <w:rPr>
          <w:rFonts w:ascii="Arial" w:cs="Arial" w:eastAsia="Arial" w:hAnsi="Arial"/>
          <w:sz w:val="16"/>
          <w:szCs w:val="16"/>
          <w:color w:val="1A1A1A"/>
        </w:rPr>
        <w:t xml:space="preserve"> financial stability</w:t>
      </w:r>
      <w:r>
        <w:rPr>
          <w:rFonts w:ascii="Arial" w:cs="Arial" w:eastAsia="Arial" w:hAnsi="Arial"/>
          <w:sz w:val="16"/>
          <w:szCs w:val="16"/>
          <w:color w:val="414141"/>
        </w:rPr>
        <w:t>,</w:t>
      </w:r>
      <w:r>
        <w:rPr>
          <w:rFonts w:ascii="Arial" w:cs="Arial" w:eastAsia="Arial" w:hAnsi="Arial"/>
          <w:sz w:val="16"/>
          <w:szCs w:val="16"/>
          <w:color w:val="1A1A1A"/>
        </w:rPr>
        <w:t xml:space="preserve"> availability of cash</w:t>
      </w:r>
      <w:r>
        <w:rPr>
          <w:rFonts w:ascii="Arial" w:cs="Arial" w:eastAsia="Arial" w:hAnsi="Arial"/>
          <w:sz w:val="16"/>
          <w:szCs w:val="16"/>
          <w:color w:val="414141"/>
        </w:rPr>
        <w:t>,</w:t>
      </w:r>
      <w:r>
        <w:rPr>
          <w:rFonts w:ascii="Arial" w:cs="Arial" w:eastAsia="Arial" w:hAnsi="Arial"/>
          <w:sz w:val="16"/>
          <w:szCs w:val="16"/>
          <w:color w:val="1A1A1A"/>
        </w:rPr>
        <w:t xml:space="preserve"> industry benchmarks and standards and market conditions. Any annual bonus so awarded shall be payable by February 28</w:t>
      </w:r>
      <w:r>
        <w:rPr>
          <w:rFonts w:ascii="Arial" w:cs="Arial" w:eastAsia="Arial" w:hAnsi="Arial"/>
          <w:sz w:val="20"/>
          <w:szCs w:val="20"/>
          <w:color w:val="1A1A1A"/>
          <w:vertAlign w:val="superscript"/>
        </w:rPr>
        <w:t>th</w:t>
      </w:r>
      <w:r>
        <w:rPr>
          <w:rFonts w:ascii="Arial" w:cs="Arial" w:eastAsia="Arial" w:hAnsi="Arial"/>
          <w:sz w:val="16"/>
          <w:szCs w:val="16"/>
          <w:color w:val="1A1A1A"/>
        </w:rPr>
        <w:t xml:space="preserve"> of each year for the Employee</w:t>
      </w:r>
      <w:r>
        <w:rPr>
          <w:rFonts w:ascii="Arial" w:cs="Arial" w:eastAsia="Arial" w:hAnsi="Arial"/>
          <w:sz w:val="16"/>
          <w:szCs w:val="16"/>
          <w:color w:val="414141"/>
        </w:rPr>
        <w:t>‘</w:t>
      </w:r>
      <w:r>
        <w:rPr>
          <w:rFonts w:ascii="Arial" w:cs="Arial" w:eastAsia="Arial" w:hAnsi="Arial"/>
          <w:sz w:val="16"/>
          <w:szCs w:val="16"/>
          <w:color w:val="1A1A1A"/>
        </w:rPr>
        <w:t xml:space="preserve">s performance in the previous year (the </w:t>
      </w:r>
      <w:r>
        <w:rPr>
          <w:rFonts w:ascii="Arial" w:cs="Arial" w:eastAsia="Arial" w:hAnsi="Arial"/>
          <w:sz w:val="16"/>
          <w:szCs w:val="16"/>
          <w:color w:val="414141"/>
        </w:rPr>
        <w:t>“</w:t>
      </w:r>
      <w:r>
        <w:rPr>
          <w:rFonts w:ascii="Arial" w:cs="Arial" w:eastAsia="Arial" w:hAnsi="Arial"/>
          <w:sz w:val="16"/>
          <w:szCs w:val="16"/>
          <w:color w:val="1A1A1A"/>
        </w:rPr>
        <w:t>Measuring Year”). To be eligible for an annual bonus, the Employee must be employed on the date such bonus is pa id</w:t>
      </w:r>
      <w:r>
        <w:rPr>
          <w:rFonts w:ascii="Arial" w:cs="Arial" w:eastAsia="Arial" w:hAnsi="Arial"/>
          <w:sz w:val="16"/>
          <w:szCs w:val="16"/>
          <w:color w:val="414141"/>
        </w:rPr>
        <w:t>.</w:t>
      </w:r>
      <w:r>
        <w:rPr>
          <w:rFonts w:ascii="Arial" w:cs="Arial" w:eastAsia="Arial" w:hAnsi="Arial"/>
          <w:sz w:val="16"/>
          <w:szCs w:val="16"/>
          <w:color w:val="1A1A1A"/>
        </w:rPr>
        <w:t>”</w:t>
      </w:r>
    </w:p>
    <w:p>
      <w:pPr>
        <w:spacing w:after="0" w:line="193" w:lineRule="exact"/>
        <w:rPr>
          <w:sz w:val="20"/>
          <w:szCs w:val="20"/>
          <w:color w:val="auto"/>
        </w:rPr>
      </w:pPr>
    </w:p>
    <w:p>
      <w:pPr>
        <w:ind w:left="40" w:right="140" w:firstLine="558"/>
        <w:spacing w:after="0" w:line="277" w:lineRule="auto"/>
        <w:tabs>
          <w:tab w:leader="none" w:pos="1120" w:val="left"/>
        </w:tabs>
        <w:numPr>
          <w:ilvl w:val="0"/>
          <w:numId w:val="35"/>
        </w:numPr>
        <w:rPr>
          <w:rFonts w:ascii="Arial" w:cs="Arial" w:eastAsia="Arial" w:hAnsi="Arial"/>
          <w:sz w:val="18"/>
          <w:szCs w:val="18"/>
          <w:color w:val="1A1A1A"/>
        </w:rPr>
      </w:pPr>
      <w:r>
        <w:rPr>
          <w:rFonts w:ascii="Arial" w:cs="Arial" w:eastAsia="Arial" w:hAnsi="Arial"/>
          <w:sz w:val="18"/>
          <w:szCs w:val="18"/>
          <w:color w:val="1A1A1A"/>
        </w:rPr>
        <w:t>Except as set forth in this Amendment, all other terms and conditions of the Employment Agreement shall remain unchanged and in full force and effect.</w:t>
      </w:r>
    </w:p>
    <w:p>
      <w:pPr>
        <w:spacing w:after="0" w:line="197" w:lineRule="exact"/>
        <w:rPr>
          <w:rFonts w:ascii="Arial" w:cs="Arial" w:eastAsia="Arial" w:hAnsi="Arial"/>
          <w:sz w:val="18"/>
          <w:szCs w:val="18"/>
          <w:color w:val="1A1A1A"/>
        </w:rPr>
      </w:pPr>
    </w:p>
    <w:p>
      <w:pPr>
        <w:ind w:left="40" w:right="180" w:firstLine="559"/>
        <w:spacing w:after="0" w:line="277" w:lineRule="auto"/>
        <w:tabs>
          <w:tab w:leader="none" w:pos="1120" w:val="left"/>
        </w:tabs>
        <w:numPr>
          <w:ilvl w:val="0"/>
          <w:numId w:val="35"/>
        </w:numPr>
        <w:rPr>
          <w:rFonts w:ascii="Arial" w:cs="Arial" w:eastAsia="Arial" w:hAnsi="Arial"/>
          <w:sz w:val="18"/>
          <w:szCs w:val="18"/>
          <w:color w:val="1A1A1A"/>
        </w:rPr>
      </w:pPr>
      <w:r>
        <w:rPr>
          <w:rFonts w:ascii="Arial" w:cs="Arial" w:eastAsia="Arial" w:hAnsi="Arial"/>
          <w:sz w:val="18"/>
          <w:szCs w:val="18"/>
          <w:color w:val="1A1A1A"/>
        </w:rPr>
        <w:t>This Amendment may be executed in one or more counterparts, each of which shall for all purposes be deemed to be an original and all of which shall constitute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060"/>
          </w:cols>
          <w:pgMar w:left="500" w:top="1440" w:right="339" w:bottom="1440" w:gutter="0" w:footer="0" w:header="0"/>
        </w:sectPr>
      </w:pPr>
    </w:p>
    <w:bookmarkStart w:id="48" w:name="page49"/>
    <w:bookmarkEnd w:id="48"/>
    <w:p>
      <w:pPr>
        <w:ind w:firstLine="648"/>
        <w:spacing w:after="0" w:line="277" w:lineRule="auto"/>
        <w:rPr>
          <w:sz w:val="20"/>
          <w:szCs w:val="20"/>
          <w:color w:val="auto"/>
        </w:rPr>
      </w:pPr>
      <w:r>
        <w:rPr>
          <w:rFonts w:ascii="Arial" w:cs="Arial" w:eastAsia="Arial" w:hAnsi="Arial"/>
          <w:sz w:val="18"/>
          <w:szCs w:val="18"/>
          <w:color w:val="1F1F1F"/>
        </w:rPr>
        <w:t>IN WITNESS WHEREOF</w:t>
      </w:r>
      <w:r>
        <w:rPr>
          <w:rFonts w:ascii="Arial" w:cs="Arial" w:eastAsia="Arial" w:hAnsi="Arial"/>
          <w:sz w:val="18"/>
          <w:szCs w:val="18"/>
          <w:color w:val="444444"/>
        </w:rPr>
        <w:t>,</w:t>
      </w:r>
      <w:r>
        <w:rPr>
          <w:rFonts w:ascii="Arial" w:cs="Arial" w:eastAsia="Arial" w:hAnsi="Arial"/>
          <w:sz w:val="18"/>
          <w:szCs w:val="18"/>
          <w:color w:val="1F1F1F"/>
        </w:rPr>
        <w:t xml:space="preserve"> </w:t>
      </w:r>
      <w:r>
        <w:rPr>
          <w:rFonts w:ascii="Arial" w:cs="Arial" w:eastAsia="Arial" w:hAnsi="Arial"/>
          <w:sz w:val="18"/>
          <w:szCs w:val="18"/>
          <w:color w:val="0F0F0F"/>
        </w:rPr>
        <w:t>the</w:t>
      </w:r>
      <w:r>
        <w:rPr>
          <w:rFonts w:ascii="Arial" w:cs="Arial" w:eastAsia="Arial" w:hAnsi="Arial"/>
          <w:sz w:val="18"/>
          <w:szCs w:val="18"/>
          <w:color w:val="1F1F1F"/>
        </w:rPr>
        <w:t xml:space="preserve"> Company </w:t>
      </w:r>
      <w:r>
        <w:rPr>
          <w:rFonts w:ascii="Arial" w:cs="Arial" w:eastAsia="Arial" w:hAnsi="Arial"/>
          <w:sz w:val="18"/>
          <w:szCs w:val="18"/>
          <w:color w:val="0F0F0F"/>
        </w:rPr>
        <w:t>has</w:t>
      </w:r>
      <w:r>
        <w:rPr>
          <w:rFonts w:ascii="Arial" w:cs="Arial" w:eastAsia="Arial" w:hAnsi="Arial"/>
          <w:sz w:val="18"/>
          <w:szCs w:val="18"/>
          <w:color w:val="1F1F1F"/>
        </w:rPr>
        <w:t xml:space="preserve"> caused </w:t>
      </w:r>
      <w:r>
        <w:rPr>
          <w:rFonts w:ascii="Arial" w:cs="Arial" w:eastAsia="Arial" w:hAnsi="Arial"/>
          <w:sz w:val="18"/>
          <w:szCs w:val="18"/>
          <w:color w:val="0F0F0F"/>
        </w:rPr>
        <w:t>this</w:t>
      </w:r>
      <w:r>
        <w:rPr>
          <w:rFonts w:ascii="Arial" w:cs="Arial" w:eastAsia="Arial" w:hAnsi="Arial"/>
          <w:sz w:val="18"/>
          <w:szCs w:val="18"/>
          <w:color w:val="1F1F1F"/>
        </w:rPr>
        <w:t xml:space="preserve"> Amendment to be executed </w:t>
      </w:r>
      <w:r>
        <w:rPr>
          <w:rFonts w:ascii="Arial" w:cs="Arial" w:eastAsia="Arial" w:hAnsi="Arial"/>
          <w:sz w:val="18"/>
          <w:szCs w:val="18"/>
          <w:color w:val="0F0F0F"/>
        </w:rPr>
        <w:t>by</w:t>
      </w:r>
      <w:r>
        <w:rPr>
          <w:rFonts w:ascii="Arial" w:cs="Arial" w:eastAsia="Arial" w:hAnsi="Arial"/>
          <w:sz w:val="18"/>
          <w:szCs w:val="18"/>
          <w:color w:val="1F1F1F"/>
        </w:rPr>
        <w:t xml:space="preserve"> its duly authorized officer, and Executive </w:t>
      </w:r>
      <w:r>
        <w:rPr>
          <w:rFonts w:ascii="Arial" w:cs="Arial" w:eastAsia="Arial" w:hAnsi="Arial"/>
          <w:sz w:val="18"/>
          <w:szCs w:val="18"/>
          <w:color w:val="0F0F0F"/>
        </w:rPr>
        <w:t>has</w:t>
      </w:r>
      <w:r>
        <w:rPr>
          <w:rFonts w:ascii="Arial" w:cs="Arial" w:eastAsia="Arial" w:hAnsi="Arial"/>
          <w:sz w:val="18"/>
          <w:szCs w:val="18"/>
          <w:color w:val="1F1F1F"/>
        </w:rPr>
        <w:t xml:space="preserve"> executed this Amendment, </w:t>
      </w:r>
      <w:r>
        <w:rPr>
          <w:rFonts w:ascii="Arial" w:cs="Arial" w:eastAsia="Arial" w:hAnsi="Arial"/>
          <w:sz w:val="18"/>
          <w:szCs w:val="18"/>
          <w:color w:val="0F0F0F"/>
        </w:rPr>
        <w:t>in</w:t>
      </w:r>
      <w:r>
        <w:rPr>
          <w:rFonts w:ascii="Arial" w:cs="Arial" w:eastAsia="Arial" w:hAnsi="Arial"/>
          <w:sz w:val="18"/>
          <w:szCs w:val="18"/>
          <w:color w:val="1F1F1F"/>
        </w:rPr>
        <w:t xml:space="preserve"> each case on the 1st </w:t>
      </w:r>
      <w:r>
        <w:rPr>
          <w:rFonts w:ascii="Arial" w:cs="Arial" w:eastAsia="Arial" w:hAnsi="Arial"/>
          <w:sz w:val="18"/>
          <w:szCs w:val="18"/>
          <w:color w:val="0F0F0F"/>
        </w:rPr>
        <w:t>day</w:t>
      </w:r>
      <w:r>
        <w:rPr>
          <w:rFonts w:ascii="Arial" w:cs="Arial" w:eastAsia="Arial" w:hAnsi="Arial"/>
          <w:sz w:val="18"/>
          <w:szCs w:val="18"/>
          <w:color w:val="1F1F1F"/>
        </w:rPr>
        <w:t xml:space="preserve"> of January, 2020.</w:t>
      </w:r>
    </w:p>
    <w:p>
      <w:pPr>
        <w:spacing w:after="0" w:line="195" w:lineRule="exact"/>
        <w:rPr>
          <w:sz w:val="20"/>
          <w:szCs w:val="20"/>
          <w:color w:val="auto"/>
        </w:rPr>
      </w:pPr>
    </w:p>
    <w:p>
      <w:pPr>
        <w:ind w:left="3920"/>
        <w:spacing w:after="0"/>
        <w:rPr>
          <w:sz w:val="20"/>
          <w:szCs w:val="20"/>
          <w:color w:val="auto"/>
        </w:rPr>
      </w:pPr>
      <w:r>
        <w:rPr>
          <w:rFonts w:ascii="Arial" w:cs="Arial" w:eastAsia="Arial" w:hAnsi="Arial"/>
          <w:sz w:val="20"/>
          <w:szCs w:val="20"/>
          <w:color w:val="1F1F1F"/>
        </w:rPr>
        <w:t>OCUGEN, INC.</w:t>
      </w:r>
    </w:p>
    <w:p>
      <w:pPr>
        <w:spacing w:after="0" w:line="200" w:lineRule="exact"/>
        <w:rPr>
          <w:sz w:val="20"/>
          <w:szCs w:val="20"/>
          <w:color w:val="auto"/>
        </w:rPr>
      </w:pPr>
    </w:p>
    <w:p>
      <w:pPr>
        <w:spacing w:after="0" w:line="383" w:lineRule="exact"/>
        <w:rPr>
          <w:sz w:val="20"/>
          <w:szCs w:val="20"/>
          <w:color w:val="auto"/>
        </w:rPr>
      </w:pPr>
    </w:p>
    <w:p>
      <w:pPr>
        <w:ind w:left="3920"/>
        <w:spacing w:after="0"/>
        <w:rPr>
          <w:sz w:val="20"/>
          <w:szCs w:val="20"/>
          <w:color w:val="auto"/>
        </w:rPr>
      </w:pPr>
      <w:r>
        <w:rPr>
          <w:rFonts w:ascii="Arial" w:cs="Arial" w:eastAsia="Arial" w:hAnsi="Arial"/>
          <w:sz w:val="18"/>
          <w:szCs w:val="18"/>
          <w:color w:val="0F0F0F"/>
        </w:rPr>
        <w:t>By</w:t>
      </w:r>
      <w:r>
        <w:rPr>
          <w:rFonts w:ascii="Arial" w:cs="Arial" w:eastAsia="Arial" w:hAnsi="Arial"/>
          <w:sz w:val="18"/>
          <w:szCs w:val="18"/>
          <w:color w:val="1F1F1F"/>
        </w:rPr>
        <w:t>:</w:t>
      </w:r>
      <w:r>
        <w:rPr>
          <w:rFonts w:ascii="Arial" w:cs="Arial" w:eastAsia="Arial" w:hAnsi="Arial"/>
          <w:sz w:val="18"/>
          <w:szCs w:val="18"/>
          <w:color w:val="0F0F0F"/>
        </w:rPr>
        <w:t xml:space="preserve"> </w:t>
      </w:r>
      <w:r>
        <w:rPr>
          <w:rFonts w:ascii="Arial" w:cs="Arial" w:eastAsia="Arial" w:hAnsi="Arial"/>
          <w:sz w:val="18"/>
          <w:szCs w:val="18"/>
          <w:u w:val="single" w:color="auto"/>
          <w:color w:val="1F1F1F"/>
        </w:rPr>
        <w:t>/s/ Shankar Musunuri</w:t>
      </w:r>
    </w:p>
    <w:p>
      <w:pPr>
        <w:spacing w:after="0" w:line="131" w:lineRule="exact"/>
        <w:rPr>
          <w:sz w:val="20"/>
          <w:szCs w:val="20"/>
          <w:color w:val="auto"/>
        </w:rPr>
      </w:pPr>
    </w:p>
    <w:p>
      <w:pPr>
        <w:ind w:left="4560"/>
        <w:spacing w:after="0"/>
        <w:rPr>
          <w:sz w:val="20"/>
          <w:szCs w:val="20"/>
          <w:color w:val="auto"/>
        </w:rPr>
      </w:pPr>
      <w:r>
        <w:rPr>
          <w:rFonts w:ascii="Arial" w:cs="Arial" w:eastAsia="Arial" w:hAnsi="Arial"/>
          <w:sz w:val="18"/>
          <w:szCs w:val="18"/>
          <w:color w:val="1F1F1F"/>
        </w:rPr>
        <w:t>Shankar Musunuri</w:t>
      </w:r>
    </w:p>
    <w:p>
      <w:pPr>
        <w:spacing w:after="0" w:line="131" w:lineRule="exact"/>
        <w:rPr>
          <w:sz w:val="20"/>
          <w:szCs w:val="20"/>
          <w:color w:val="auto"/>
        </w:rPr>
      </w:pPr>
    </w:p>
    <w:p>
      <w:pPr>
        <w:ind w:left="4560"/>
        <w:spacing w:after="0"/>
        <w:rPr>
          <w:sz w:val="20"/>
          <w:szCs w:val="20"/>
          <w:color w:val="auto"/>
        </w:rPr>
      </w:pPr>
      <w:r>
        <w:rPr>
          <w:rFonts w:ascii="Arial" w:cs="Arial" w:eastAsia="Arial" w:hAnsi="Arial"/>
          <w:sz w:val="18"/>
          <w:szCs w:val="18"/>
          <w:color w:val="1F1F1F"/>
        </w:rPr>
        <w:t>Chairman and CEO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920"/>
        <w:spacing w:after="0"/>
        <w:rPr>
          <w:sz w:val="20"/>
          <w:szCs w:val="20"/>
          <w:color w:val="auto"/>
        </w:rPr>
      </w:pPr>
      <w:r>
        <w:rPr>
          <w:rFonts w:ascii="Arial" w:cs="Arial" w:eastAsia="Arial" w:hAnsi="Arial"/>
          <w:sz w:val="20"/>
          <w:szCs w:val="20"/>
          <w:color w:val="1F1F1F"/>
        </w:rPr>
        <w:t>SANJAY SUBRAMANIAN</w:t>
      </w:r>
    </w:p>
    <w:p>
      <w:pPr>
        <w:spacing w:after="0" w:line="200" w:lineRule="exact"/>
        <w:rPr>
          <w:sz w:val="20"/>
          <w:szCs w:val="20"/>
          <w:color w:val="auto"/>
        </w:rPr>
      </w:pPr>
    </w:p>
    <w:p>
      <w:pPr>
        <w:spacing w:after="0" w:line="369" w:lineRule="exact"/>
        <w:rPr>
          <w:sz w:val="20"/>
          <w:szCs w:val="20"/>
          <w:color w:val="auto"/>
        </w:rPr>
      </w:pPr>
    </w:p>
    <w:p>
      <w:pPr>
        <w:ind w:left="3920"/>
        <w:spacing w:after="0"/>
        <w:rPr>
          <w:sz w:val="20"/>
          <w:szCs w:val="20"/>
          <w:color w:val="auto"/>
        </w:rPr>
      </w:pPr>
      <w:r>
        <w:rPr>
          <w:rFonts w:ascii="Arial" w:cs="Arial" w:eastAsia="Arial" w:hAnsi="Arial"/>
          <w:sz w:val="18"/>
          <w:szCs w:val="18"/>
          <w:color w:val="0F0F0F"/>
        </w:rPr>
        <w:t xml:space="preserve">By: </w:t>
      </w:r>
      <w:r>
        <w:rPr>
          <w:rFonts w:ascii="Arial" w:cs="Arial" w:eastAsia="Arial" w:hAnsi="Arial"/>
          <w:sz w:val="18"/>
          <w:szCs w:val="18"/>
          <w:u w:val="single" w:color="auto"/>
          <w:color w:val="1F1F1F"/>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-10160</wp:posOffset>
            </wp:positionV>
            <wp:extent cx="28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0940"/>
          </w:cols>
          <w:pgMar w:left="420" w:top="13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940"/>
          </w:cols>
          <w:pgMar w:left="420" w:top="1340" w:right="5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Shankar Musunuri,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Ocugen,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60" w:hanging="328"/>
        <w:spacing w:after="0" w:line="342" w:lineRule="auto"/>
        <w:tabs>
          <w:tab w:leader="none" w:pos="65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hanging="328"/>
        <w:spacing w:after="0" w:line="308" w:lineRule="auto"/>
        <w:tabs>
          <w:tab w:leader="none" w:pos="65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Date: May 8, 2020 /s/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31750</wp:posOffset>
            </wp:positionV>
            <wp:extent cx="4654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Shankar Musunuri, Ph.D., MBA</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Subramanian,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Ocugen,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40" w:hanging="328"/>
        <w:spacing w:after="0" w:line="263" w:lineRule="auto"/>
        <w:tabs>
          <w:tab w:leader="none" w:pos="6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60" w:hanging="328"/>
        <w:spacing w:after="0" w:line="342" w:lineRule="auto"/>
        <w:tabs>
          <w:tab w:leader="none" w:pos="65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hanging="328"/>
        <w:spacing w:after="0" w:line="308" w:lineRule="auto"/>
        <w:tabs>
          <w:tab w:leader="none" w:pos="6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Date: May 8, 2020 /s/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31750</wp:posOffset>
            </wp:positionV>
            <wp:extent cx="44234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5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Sanjay Subramanian</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Financial Officer and Accounting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Ocugen, Inc. (the Company), does hereby certify, to the best of such officer’s knowledge, that: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Quarterly Report on Form 10-Q for the quarter ended March 31,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34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Date: May 8, 2020 /s/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31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Shankar Musunuri, Ph.D., MBA</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Date: May 8, 2020 /s/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31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Sanjay Subramanian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Accounting Officer)</w:t>
      </w:r>
    </w:p>
    <w:p>
      <w:pPr>
        <w:spacing w:after="0" w:line="200" w:lineRule="exact"/>
        <w:rPr>
          <w:sz w:val="20"/>
          <w:szCs w:val="20"/>
          <w:color w:val="auto"/>
        </w:rPr>
      </w:pP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Roman"/>
      <w:start w:val="2"/>
    </w:lvl>
  </w:abstractNum>
  <w:abstractNum w:abstractNumId="11">
    <w:nsid w:val="8EDBDAB"/>
    <w:multiLevelType w:val="hybridMultilevel"/>
    <w:lvl w:ilvl="0">
      <w:lvlJc w:val="left"/>
      <w:lvlText w:val="(%1)"/>
      <w:numFmt w:val="decimal"/>
      <w:start w:val="180"/>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decimal"/>
      <w:start w:val="2"/>
    </w:lvl>
  </w:abstractNum>
  <w:abstractNum w:abstractNumId="14">
    <w:nsid w:val="B03E0C6"/>
    <w:multiLevelType w:val="hybridMultilevel"/>
    <w:lvl w:ilvl="0">
      <w:lvlJc w:val="left"/>
      <w:lvlText w:val="%1."/>
      <w:numFmt w:val="decimal"/>
      <w:start w:val="3"/>
    </w:lvl>
  </w:abstractNum>
  <w:abstractNum w:abstractNumId="15">
    <w:nsid w:val="189A769B"/>
    <w:multiLevelType w:val="hybridMultilevel"/>
    <w:lvl w:ilvl="0">
      <w:lvlJc w:val="left"/>
      <w:lvlText w:val="%1."/>
      <w:numFmt w:val="decimal"/>
      <w:start w:val="5"/>
    </w:lvl>
  </w:abstractNum>
  <w:abstractNum w:abstractNumId="16">
    <w:nsid w:val="54E49EB4"/>
    <w:multiLevelType w:val="hybridMultilevel"/>
    <w:lvl w:ilvl="0">
      <w:lvlJc w:val="left"/>
      <w:lvlText w:val="%1."/>
      <w:numFmt w:val="decimal"/>
      <w:start w:val="6"/>
    </w:lvl>
  </w:abstractNum>
  <w:abstractNum w:abstractNumId="17">
    <w:nsid w:val="71F32454"/>
    <w:multiLevelType w:val="hybridMultilevel"/>
    <w:lvl w:ilvl="0">
      <w:lvlJc w:val="left"/>
      <w:lvlText w:val="%1."/>
      <w:numFmt w:val="decimal"/>
      <w:start w:val="7"/>
    </w:lvl>
  </w:abstractNum>
  <w:abstractNum w:abstractNumId="18">
    <w:nsid w:val="2CA88611"/>
    <w:multiLevelType w:val="hybridMultilevel"/>
    <w:lvl w:ilvl="0">
      <w:lvlJc w:val="left"/>
      <w:lvlText w:val="%1."/>
      <w:numFmt w:val="decimal"/>
      <w:start w:val="8"/>
    </w:lvl>
  </w:abstractNum>
  <w:abstractNum w:abstractNumId="19">
    <w:nsid w:val="836C40E"/>
    <w:multiLevelType w:val="hybridMultilevel"/>
    <w:lvl w:ilvl="0">
      <w:lvlJc w:val="left"/>
      <w:lvlText w:val="%1."/>
      <w:numFmt w:val="decimal"/>
      <w:start w:val="9"/>
    </w:lvl>
  </w:abstractNum>
  <w:abstractNum w:abstractNumId="20">
    <w:nsid w:val="2901D82"/>
    <w:multiLevelType w:val="hybridMultilevel"/>
    <w:lvl w:ilvl="0">
      <w:lvlJc w:val="left"/>
      <w:lvlText w:val="%1."/>
      <w:numFmt w:val="decimal"/>
      <w:start w:val="10"/>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Roman"/>
      <w:start w:val="2"/>
    </w:lvl>
  </w:abstractNum>
  <w:abstractNum w:abstractNumId="23">
    <w:nsid w:val="1E7FF521"/>
    <w:multiLevelType w:val="hybridMultilevel"/>
    <w:lvl w:ilvl="0">
      <w:lvlJc w:val="left"/>
      <w:lvlText w:val="(%1)"/>
      <w:numFmt w:val="decimal"/>
      <w:start w:val="180"/>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amp;"/>
      <w:numFmt w:val="bullet"/>
      <w:start w:val="1"/>
    </w:lvl>
  </w:abstractNum>
  <w:abstractNum w:abstractNumId="27">
    <w:nsid w:val="22221A70"/>
    <w:multiLevelType w:val="hybridMultilevel"/>
    <w:lvl w:ilvl="0">
      <w:lvlJc w:val="left"/>
      <w:lvlText w:val="%1."/>
      <w:numFmt w:val="decimal"/>
      <w:start w:val="3"/>
    </w:lvl>
  </w:abstractNum>
  <w:abstractNum w:abstractNumId="28">
    <w:nsid w:val="4516DDE9"/>
    <w:multiLevelType w:val="hybridMultilevel"/>
    <w:lvl w:ilvl="0">
      <w:lvlJc w:val="left"/>
      <w:lvlText w:val="%1."/>
      <w:numFmt w:val="decimal"/>
      <w:start w:val="6"/>
    </w:lvl>
  </w:abstractNum>
  <w:abstractNum w:abstractNumId="29">
    <w:nsid w:val="3006C83E"/>
    <w:multiLevelType w:val="hybridMultilevel"/>
    <w:lvl w:ilvl="0">
      <w:lvlJc w:val="left"/>
      <w:lvlText w:val="%1."/>
      <w:numFmt w:val="decimal"/>
      <w:start w:val="7"/>
    </w:lvl>
  </w:abstractNum>
  <w:abstractNum w:abstractNumId="30">
    <w:nsid w:val="614FD4A1"/>
    <w:multiLevelType w:val="hybridMultilevel"/>
    <w:lvl w:ilvl="0">
      <w:lvlJc w:val="left"/>
      <w:lvlText w:val="%1."/>
      <w:numFmt w:val="decimal"/>
      <w:start w:val="8"/>
    </w:lvl>
  </w:abstractNum>
  <w:abstractNum w:abstractNumId="31">
    <w:nsid w:val="419AC241"/>
    <w:multiLevelType w:val="hybridMultilevel"/>
    <w:lvl w:ilvl="0">
      <w:lvlJc w:val="left"/>
      <w:lvlText w:val="%1."/>
      <w:numFmt w:val="decimal"/>
      <w:start w:val="10"/>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2"/>
    </w:lvl>
  </w:abstractNum>
  <w:abstractNum w:abstractNumId="34">
    <w:nsid w:val="5072367"/>
    <w:multiLevelType w:val="hybridMultilevel"/>
    <w:lvl w:ilvl="0">
      <w:lvlJc w:val="left"/>
      <w:lvlText w:val="%1."/>
      <w:numFmt w:val="decimal"/>
      <w:start w:val="3"/>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5" Type="http://schemas.openxmlformats.org/officeDocument/2006/relationships/hyperlink" Target="https://www.sec.gov/Archives/edgar/data/1372299/000110465920000923/tm201204d1_ex10-1.htm" TargetMode="External"/><Relationship Id="rId46" Type="http://schemas.openxmlformats.org/officeDocument/2006/relationships/hyperlink" Target="https://www.sec.gov/Archives/edgar/data/1372299/000110465920000923/tm201204d1_ex10-2.htm" TargetMode="External"/><Relationship Id="rId47" Type="http://schemas.openxmlformats.org/officeDocument/2006/relationships/hyperlink" Target="https://www.sec.gov/Archives/edgar/data/1372299/000110465920000923/tm201204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2020-05-08T07:00:19Z</dcterms:created>
  <dcterms:modified xsi:type="dcterms:W3CDTF">2020-05-08T07:00:19Z</dcterms:modified>
</cp:coreProperties>
</file>