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6"/>
          <w:szCs w:val="16"/>
          <w:b w:val="1"/>
          <w:bCs w:val="1"/>
          <w:color w:val="auto"/>
        </w:rPr>
        <w:t>As filed with the United States Securities and Exchange Commission on February 28,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OCUGEN,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5" w:lineRule="exact"/>
        <w:rPr>
          <w:sz w:val="24"/>
          <w:szCs w:val="24"/>
          <w:color w:val="auto"/>
        </w:rPr>
      </w:pPr>
    </w:p>
    <w:p>
      <w:pPr>
        <w:jc w:val="center"/>
        <w:ind w:left="8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left="8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04-3522315</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5900" w:space="720"/>
            <w:col w:w="4620"/>
          </w:cols>
          <w:pgMar w:left="320" w:top="445" w:right="339" w:bottom="1440" w:gutter="0" w:footer="0" w:header="0"/>
          <w:type w:val="continuous"/>
        </w:sectPr>
      </w:pP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263 Great Valley Parkway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(484) 328-4701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 Inducement Stock Option and Restricted Stock Unit Awards (June 2021 – February 2022)</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Shankar Musunuri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263 Great Valley Parkway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(484) 328-4701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Rachael M. Bushey, Esq.</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Jennifer L. Porter,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Troutman Pepper Hamilton Sanders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3000 Two Logan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(215) 981-4331</w:t>
      </w:r>
    </w:p>
    <w:p>
      <w:pPr>
        <w:spacing w:after="0" w:line="211"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0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8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Ocugen, Inc. (the “Registrant”) shall deliver or cause to be delivered documents containing information specified by Part I of this Registration Statement on Form S-8 (the “Registration Statement”) to recipients of the new hire inducement stock option and restricted stock unit awards covered by this Registration Statement, as specified in Rule 428(b)(1) promulgated by the Securities and Exchange Commission (the “Commission”) under the Securities Act of 1933, as amended (the “Securities Act”).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Registrant will furnish without charge to each person to whom the prospectus is delivered, upon the written or oral request of such person, a copy of any and all of the documents incorporated by reference, other than exhibits to such documents (unless such exhibits are specifically incorporated by reference to the information that is incorporated). Requests should be directed Ocugen, Inc., 263 Great Valley Parkway, Malvern, Pennsylvania 19355, Attention: Shankar Musunuri, Chief Executive Officer, telephone number (484) 328-4701.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documents of the Registrant, filed or to be filed with the Commission, are incorporated by reference in this Registration Statement as of their respective dates:</w:t>
      </w:r>
    </w:p>
    <w:p>
      <w:pPr>
        <w:spacing w:after="0" w:line="170" w:lineRule="exact"/>
        <w:rPr>
          <w:sz w:val="20"/>
          <w:szCs w:val="20"/>
          <w:color w:val="auto"/>
        </w:rPr>
      </w:pPr>
    </w:p>
    <w:p>
      <w:pPr>
        <w:ind w:left="66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year ended December 31, 2021, filed with the Commission on February 28, 2022, which contains the Registrant’s audited financial statements for the latest fiscal year for which such statements have been filed (the “2021 Form 10-K”);</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(other than portions thereof furnished under Item 2.02 or Item 7.01 of Form 8-K and exhibits </w:t>
      </w:r>
      <w:hyperlink r:id="rId18">
        <w:r>
          <w:rPr>
            <w:rFonts w:ascii="Arial" w:cs="Arial" w:eastAsia="Arial" w:hAnsi="Arial"/>
            <w:sz w:val="18"/>
            <w:szCs w:val="18"/>
            <w:color w:val="auto"/>
          </w:rPr>
          <w:t xml:space="preserve">accompanying such reports related to such items) filed with the Commission on </w:t>
        </w:r>
        <w:r>
          <w:rPr>
            <w:rFonts w:ascii="Arial" w:cs="Arial" w:eastAsia="Arial" w:hAnsi="Arial"/>
            <w:sz w:val="18"/>
            <w:szCs w:val="18"/>
            <w:u w:val="single" w:color="auto"/>
            <w:color w:val="0000EE"/>
          </w:rPr>
          <w:t>January 6,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10,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12,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28,</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9">
        <w:r>
          <w:rPr>
            <w:rFonts w:ascii="Arial" w:cs="Arial" w:eastAsia="Arial" w:hAnsi="Arial"/>
            <w:sz w:val="18"/>
            <w:szCs w:val="18"/>
            <w:u w:val="single" w:color="auto"/>
            <w:color w:val="0000EE"/>
          </w:rPr>
          <w:t>February 2, 2022</w:t>
        </w:r>
      </w:hyperlink>
      <w:hyperlink r:id="rId1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February 14, 2022</w:t>
        </w:r>
      </w:hyperlink>
      <w:hyperlink r:id="rId1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 xml:space="preserve">February 22, 2022 </w:t>
        </w:r>
      </w:hyperlink>
      <w:hyperlink r:id="rId22">
        <w:r>
          <w:rPr>
            <w:rFonts w:ascii="Arial" w:cs="Arial" w:eastAsia="Arial" w:hAnsi="Arial"/>
            <w:sz w:val="18"/>
            <w:szCs w:val="18"/>
            <w:u w:val="single" w:color="auto"/>
            <w:color w:val="0000EE"/>
          </w:rPr>
          <w:t xml:space="preserve">(both filings) </w:t>
        </w:r>
      </w:hyperlink>
      <w:hyperlink r:id="rId1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February 25, 2022</w:t>
        </w:r>
      </w:hyperlink>
      <w:hyperlink r:id="rId18">
        <w:r>
          <w:rPr>
            <w:rFonts w:ascii="Arial" w:cs="Arial" w:eastAsia="Arial" w:hAnsi="Arial"/>
            <w:sz w:val="18"/>
            <w:szCs w:val="18"/>
            <w:color w:val="000000"/>
          </w:rPr>
          <w:t>; and</w:t>
        </w:r>
      </w:hyperlink>
    </w:p>
    <w:p>
      <w:pPr>
        <w:spacing w:after="0" w:line="183" w:lineRule="exact"/>
        <w:rPr>
          <w:rFonts w:ascii="Arial" w:cs="Arial" w:eastAsia="Arial" w:hAnsi="Arial"/>
          <w:sz w:val="18"/>
          <w:szCs w:val="18"/>
          <w:color w:val="0000EE"/>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0000EE"/>
        </w:rPr>
      </w:pPr>
      <w:hyperlink r:id="rId24">
        <w:r>
          <w:rPr>
            <w:rFonts w:ascii="Arial" w:cs="Arial" w:eastAsia="Arial" w:hAnsi="Arial"/>
            <w:sz w:val="18"/>
            <w:szCs w:val="18"/>
            <w:u w:val="single" w:color="auto"/>
            <w:color w:val="0000EE"/>
          </w:rPr>
          <w:t>the description of the Registrant’s Common Stock contained in its registration statement on Form 8-A filed with the Commission on November 18,</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2014 (File No. 001-36751)</w:t>
        </w:r>
        <w:r>
          <w:rPr>
            <w:rFonts w:ascii="Arial" w:cs="Arial" w:eastAsia="Arial" w:hAnsi="Arial"/>
            <w:sz w:val="18"/>
            <w:szCs w:val="18"/>
            <w:color w:val="000000"/>
          </w:rPr>
          <w:t>, together with any amendments or reports filed for the purposes of updating this description, including Exhibit 4.1 to</w:t>
        </w:r>
      </w:hyperlink>
      <w:r>
        <w:rPr>
          <w:rFonts w:ascii="Arial" w:cs="Arial" w:eastAsia="Arial" w:hAnsi="Arial"/>
          <w:sz w:val="18"/>
          <w:szCs w:val="18"/>
          <w:color w:val="0000EE"/>
        </w:rPr>
        <w:t xml:space="preserve"> </w:t>
      </w:r>
      <w:r>
        <w:rPr>
          <w:rFonts w:ascii="Arial" w:cs="Arial" w:eastAsia="Arial" w:hAnsi="Arial"/>
          <w:sz w:val="18"/>
          <w:szCs w:val="18"/>
          <w:color w:val="000000"/>
        </w:rPr>
        <w:t>the Registrant’s 2021 Form 10-K.</w:t>
      </w:r>
    </w:p>
    <w:p>
      <w:pPr>
        <w:spacing w:after="0" w:line="184" w:lineRule="exact"/>
        <w:rPr>
          <w:rFonts w:ascii="Arial" w:cs="Arial" w:eastAsia="Arial" w:hAnsi="Arial"/>
          <w:sz w:val="18"/>
          <w:szCs w:val="18"/>
          <w:color w:val="auto"/>
        </w:rPr>
      </w:pPr>
    </w:p>
    <w:p>
      <w:pPr>
        <w:ind w:firstLine="648"/>
        <w:spacing w:after="0" w:line="253"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Registrant is governed by the Delaware General Corporation Law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Registrant’s sixth amended and restated certificate of incorporation, as amended, includes provisions that limit the liability of the Registrant’s directors for monetary damages for breach of their fiduciary duty as directors, except for liability that cannot be eliminated under the DGCL. Accordingly, the Registrant’s directors will not be personally liable for monetary damages for breach of their fiduciary duty as directors, except for liabilities:</w:t>
      </w:r>
    </w:p>
    <w:p>
      <w:pPr>
        <w:spacing w:after="0" w:line="14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Registrant or its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unlawful payments of dividends or unlawful stock repurchases or redemptions, as provided under Section 174 of the DGCL;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Any amendment or repeal of these provisions will require the approval of the holders of shares representing at least two-thirds of the shares entitled to vote in the election of directors, voting as one class. The Registrant’s sixth amended and certificate of incorporation, as amended, and amended and restated bylaws also provides that the Registrant will indemnify its directors and officers to the fullest extent permitted by Delaware law. The Registrant’s sixth amended and certificate of incorporation, as amended, and amended and restated bylaws also permit the Registrant to purchase insurance on behalf of any officer, director, employee or other agent for any liability arising out of his or her actions as its officer, director, employee or agent, regardless of whether Delaware law would permit indemnification. The Registrant has entered into separate indemnification agreements with its directors and executive officers that require the Registrant, among other things, to indemnify them against certain liabilities that may arise by reason of their status or service as directors and to advance their expenses incurred as a result of any proceeding against them as to which they could be indemnified. The Registrant believes that the limitation of liability provision in its sixth amended and certificate of incorporation, as amended, and the indemnification agreements facilitate its ability to continue to attract and retain qualified individuals to serve as directors and officers. The limitation of liability and indemnification provisions in the Registration’s sixth amended and restated certificate of incorporation, as amended,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the Registrant and its stockholders. A stockholder's investment may be harmed to the extent the Registrant pays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80" w:type="dxa"/>
            <w:vAlign w:val="bottom"/>
            <w:gridSpan w:val="21"/>
          </w:tcPr>
          <w:p>
            <w:pPr>
              <w:spacing w:after="0"/>
              <w:rPr>
                <w:sz w:val="20"/>
                <w:szCs w:val="20"/>
                <w:color w:val="auto"/>
              </w:rPr>
            </w:pPr>
            <w:r>
              <w:rPr>
                <w:rFonts w:ascii="Arial" w:cs="Arial" w:eastAsia="Arial" w:hAnsi="Arial"/>
                <w:sz w:val="18"/>
                <w:szCs w:val="18"/>
                <w:color w:val="auto"/>
              </w:rPr>
              <w:t>Not applicable.</w:t>
            </w:r>
          </w:p>
        </w:tc>
      </w:tr>
      <w:tr>
        <w:trPr>
          <w:trHeight w:val="432"/>
        </w:trPr>
        <w:tc>
          <w:tcPr>
            <w:tcW w:w="66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10580" w:type="dxa"/>
            <w:vAlign w:val="bottom"/>
            <w:gridSpan w:val="21"/>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21"/>
          </w:tcPr>
          <w:p>
            <w:pPr>
              <w:spacing w:after="0"/>
              <w:rPr>
                <w:sz w:val="20"/>
                <w:szCs w:val="20"/>
                <w:color w:val="auto"/>
              </w:rPr>
            </w:pPr>
            <w:r>
              <w:rPr>
                <w:rFonts w:ascii="Arial" w:cs="Arial" w:eastAsia="Arial" w:hAnsi="Arial"/>
                <w:sz w:val="18"/>
                <w:szCs w:val="18"/>
                <w:color w:val="auto"/>
              </w:rPr>
              <w:t>The following documents are filed as exhibits to this Registration Statement:</w:t>
            </w:r>
          </w:p>
        </w:tc>
      </w:tr>
      <w:tr>
        <w:trPr>
          <w:trHeight w:val="414"/>
        </w:trPr>
        <w:tc>
          <w:tcPr>
            <w:tcW w:w="6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Number</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Borders>
              <w:bottom w:val="single" w:sz="8" w:color="auto"/>
            </w:tcBorders>
            <w:gridSpan w:val="19"/>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40" w:type="dxa"/>
            <w:vAlign w:val="bottom"/>
            <w:tcBorders>
              <w:bottom w:val="single" w:sz="8" w:color="0000EE"/>
            </w:tcBorders>
          </w:tcPr>
          <w:p>
            <w:pPr>
              <w:spacing w:after="0" w:line="169" w:lineRule="exact"/>
              <w:rPr>
                <w:rFonts w:ascii="Arial" w:cs="Arial" w:eastAsia="Arial" w:hAnsi="Arial"/>
                <w:sz w:val="18"/>
                <w:szCs w:val="18"/>
                <w:color w:val="0000EE"/>
                <w:w w:val="87"/>
              </w:rPr>
            </w:pPr>
            <w:hyperlink r:id="rId2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Borders>
              <w:bottom w:val="single" w:sz="8" w:color="0000EE"/>
            </w:tcBorders>
            <w:gridSpan w:val="13"/>
          </w:tcPr>
          <w:p>
            <w:pPr>
              <w:ind w:left="20"/>
              <w:spacing w:after="0" w:line="169"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Sixth Amended and Restated Certificate of Incorporation of Ocugen, Inc. (incorporated herein by reference to Exhibit 3.1 to the</w:t>
              </w:r>
            </w:hyperlink>
          </w:p>
        </w:tc>
        <w:tc>
          <w:tcPr>
            <w:tcW w:w="780" w:type="dxa"/>
            <w:vAlign w:val="bottom"/>
            <w:gridSpan w:val="6"/>
          </w:tcPr>
          <w:p>
            <w:pPr>
              <w:spacing w:after="0"/>
              <w:rPr>
                <w:sz w:val="14"/>
                <w:szCs w:val="1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Registrant Current Report on Form 8-K (File No. 001-36751) filed on December 8, 2014).</w:t>
              </w:r>
            </w:hyperlink>
          </w:p>
        </w:tc>
        <w:tc>
          <w:tcPr>
            <w:tcW w:w="3480" w:type="dxa"/>
            <w:vAlign w:val="bottom"/>
            <w:gridSpan w:val="13"/>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Borders>
              <w:bottom w:val="single" w:sz="8" w:color="0000EE"/>
            </w:tcBorders>
            <w:gridSpan w:val="17"/>
          </w:tcPr>
          <w:p>
            <w:pPr>
              <w:ind w:left="20"/>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Amendment to Sixth Amended and Restated Certificate of Incorporation of Ocugen, Inc., dated September 27, 2019 (incorporated herein</w:t>
              </w:r>
            </w:hyperlink>
          </w:p>
        </w:tc>
        <w:tc>
          <w:tcPr>
            <w:tcW w:w="10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by reference to Exhibit 3.1 to the Registrant Current Report on Form 8-K (File No. 001-36751) filed on October 1, 2019).</w:t>
              </w:r>
            </w:hyperlink>
          </w:p>
        </w:tc>
        <w:tc>
          <w:tcPr>
            <w:tcW w:w="1220" w:type="dxa"/>
            <w:vAlign w:val="bottom"/>
            <w:gridSpan w:val="8"/>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Borders>
              <w:bottom w:val="single" w:sz="8" w:color="0000EE"/>
            </w:tcBorders>
            <w:gridSpan w:val="17"/>
          </w:tcPr>
          <w:p>
            <w:pPr>
              <w:ind w:left="20"/>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Amendment to Sixth Amended and Restated Certificate of Incorporation of Ocugen, Inc., dated September 27, 2019 (incorporated herein</w:t>
              </w:r>
            </w:hyperlink>
          </w:p>
        </w:tc>
        <w:tc>
          <w:tcPr>
            <w:tcW w:w="10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by reference to Exhibit 3.2 to the Registrant’s Current Report on Form 8-K (File No. 001-36751) filed on October 1, 2019).</w:t>
              </w:r>
            </w:hyperlink>
          </w:p>
        </w:tc>
        <w:tc>
          <w:tcPr>
            <w:tcW w:w="1100" w:type="dxa"/>
            <w:vAlign w:val="bottom"/>
            <w:gridSpan w:val="7"/>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9"/>
          </w:tcPr>
          <w:p>
            <w:pPr>
              <w:ind w:left="20"/>
              <w:spacing w:after="0"/>
              <w:rPr>
                <w:rFonts w:ascii="Arial" w:cs="Arial" w:eastAsia="Arial" w:hAnsi="Arial"/>
                <w:sz w:val="18"/>
                <w:szCs w:val="18"/>
                <w:color w:val="0000EE"/>
                <w:w w:val="93"/>
              </w:rPr>
            </w:pPr>
            <w:hyperlink r:id="rId30">
              <w:r>
                <w:rPr>
                  <w:rFonts w:ascii="Arial" w:cs="Arial" w:eastAsia="Arial" w:hAnsi="Arial"/>
                  <w:sz w:val="18"/>
                  <w:szCs w:val="18"/>
                  <w:color w:val="0000EE"/>
                  <w:w w:val="93"/>
                </w:rPr>
                <w:t>Amendment to Sixth Amended and Restated Certificate of Incorporation of Ocugen, Inc., dated April 14, 2021 (incorporated herein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reference to Exhibit 3.1 to the Registrant’s Quarterly Report on Form 10-Q (File No. 001-36751) filed on May 7, 2021).</w:t>
              </w:r>
            </w:hyperlink>
          </w:p>
        </w:tc>
        <w:tc>
          <w:tcPr>
            <w:tcW w:w="280" w:type="dxa"/>
            <w:vAlign w:val="bottom"/>
            <w:gridSpan w:val="4"/>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tcBorders>
              <w:bottom w:val="single" w:sz="8" w:color="0000EE"/>
            </w:tcBorders>
            <w:gridSpan w:val="14"/>
          </w:tcPr>
          <w:p>
            <w:pPr>
              <w:ind w:left="20"/>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Amended and Restated Bylaws of Ocugen, Inc. (incorporated herein by reference to Exhibit 3.3 to the Registrant’s Current Report on</w:t>
              </w:r>
            </w:hyperlink>
          </w:p>
        </w:tc>
        <w:tc>
          <w:tcPr>
            <w:tcW w:w="38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Form 8-K (File No. 001-36751) filed on October 1, 2019).</w:t>
              </w:r>
            </w:hyperlink>
          </w:p>
        </w:tc>
        <w:tc>
          <w:tcPr>
            <w:tcW w:w="5780" w:type="dxa"/>
            <w:vAlign w:val="bottom"/>
            <w:gridSpan w:val="16"/>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9"/>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Opinion of Troutman Pepper Hamilton Sanders LLP as to the legality of the securities being registered.</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bottom w:val="single" w:sz="8" w:color="0000EE"/>
            </w:tcBorders>
            <w:gridSpan w:val="7"/>
          </w:tcPr>
          <w:p>
            <w:pPr>
              <w:ind w:left="20"/>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Consent of Ernst &amp; Young LLP, independent registered public accounting firm for Ocugen, Inc.</w:t>
              </w:r>
            </w:hyperlink>
          </w:p>
        </w:tc>
        <w:tc>
          <w:tcPr>
            <w:tcW w:w="3100" w:type="dxa"/>
            <w:vAlign w:val="bottom"/>
            <w:gridSpan w:val="12"/>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60" w:type="dxa"/>
            <w:vAlign w:val="bottom"/>
            <w:tcBorders>
              <w:bottom w:val="single" w:sz="8" w:color="0000EE"/>
            </w:tcBorders>
            <w:gridSpan w:val="4"/>
          </w:tcPr>
          <w:p>
            <w:pPr>
              <w:ind w:left="20"/>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Consent of Troutman Pepper Hamilton Sanders LLP (included in Exhibit 5.1).</w:t>
              </w:r>
            </w:hyperlink>
          </w:p>
        </w:tc>
        <w:tc>
          <w:tcPr>
            <w:tcW w:w="4340" w:type="dxa"/>
            <w:vAlign w:val="bottom"/>
            <w:gridSpan w:val="15"/>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Borders>
              <w:bottom w:val="single" w:sz="8" w:color="0000EE"/>
            </w:tcBorders>
            <w:gridSpan w:val="5"/>
          </w:tcPr>
          <w:p>
            <w:pPr>
              <w:ind w:left="20"/>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Powers of Attorney (included on the signature page of the Registration Statement).</w:t>
              </w:r>
            </w:hyperlink>
          </w:p>
        </w:tc>
        <w:tc>
          <w:tcPr>
            <w:tcW w:w="4020" w:type="dxa"/>
            <w:vAlign w:val="bottom"/>
            <w:gridSpan w:val="14"/>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9"/>
          </w:tcPr>
          <w:p>
            <w:pPr>
              <w:ind w:left="20"/>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Form of Stock Option Agreement for Inducement Option Awards (filed as exhibit 10.2 to the Registrant's Form 10-Q as filed on August 6,</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2021, and incorporated herein by reference).</w:t>
              </w:r>
            </w:hyperlink>
          </w:p>
        </w:tc>
        <w:tc>
          <w:tcPr>
            <w:tcW w:w="676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Borders>
              <w:bottom w:val="single" w:sz="8" w:color="0000EE"/>
            </w:tcBorders>
            <w:gridSpan w:val="16"/>
          </w:tcPr>
          <w:p>
            <w:pPr>
              <w:ind w:left="20"/>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Form of Restricted Stock Unit Grant Notice and Restricted Stock Unit Agreement for Inducement Restricted Stock Unit Awards (filed as</w:t>
              </w:r>
            </w:hyperlink>
          </w:p>
        </w:tc>
        <w:tc>
          <w:tcPr>
            <w:tcW w:w="12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exhibit 10.3 to the Registrant's Form 10-Q as filed on August 6, 2021, and incorporated herein by reference).</w:t>
              </w:r>
            </w:hyperlink>
          </w:p>
        </w:tc>
      </w:tr>
      <w:tr>
        <w:trPr>
          <w:trHeight w:val="412"/>
        </w:trPr>
        <w:tc>
          <w:tcPr>
            <w:tcW w:w="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107*</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0000EE"/>
              <w:bottom w:val="single" w:sz="8" w:color="0000EE"/>
            </w:tcBorders>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Filing Fee Table.</w:t>
              </w:r>
            </w:hyperlink>
          </w:p>
        </w:tc>
        <w:tc>
          <w:tcPr>
            <w:tcW w:w="6600" w:type="dxa"/>
            <w:vAlign w:val="bottom"/>
            <w:tcBorders>
              <w:top w:val="single" w:sz="8" w:color="0000EE"/>
            </w:tcBorders>
            <w:gridSpan w:val="8"/>
          </w:tcPr>
          <w:p>
            <w:pPr>
              <w:spacing w:after="0"/>
              <w:rPr>
                <w:sz w:val="24"/>
                <w:szCs w:val="24"/>
                <w:color w:val="auto"/>
              </w:rPr>
            </w:pPr>
          </w:p>
        </w:tc>
        <w:tc>
          <w:tcPr>
            <w:tcW w:w="2160" w:type="dxa"/>
            <w:vAlign w:val="bottom"/>
            <w:gridSpan w:val="10"/>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2440" w:hanging="1136"/>
        <w:spacing w:after="0"/>
        <w:tabs>
          <w:tab w:leader="none" w:pos="2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3200" w:hanging="924"/>
        <w:spacing w:after="0"/>
        <w:tabs>
          <w:tab w:leader="none" w:pos="32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Registration Statement:</w:t>
      </w:r>
    </w:p>
    <w:p>
      <w:pPr>
        <w:spacing w:after="0" w:line="210" w:lineRule="exact"/>
        <w:rPr>
          <w:rFonts w:ascii="Arial" w:cs="Arial" w:eastAsia="Arial" w:hAnsi="Arial"/>
          <w:sz w:val="17"/>
          <w:szCs w:val="17"/>
          <w:color w:val="auto"/>
        </w:rPr>
      </w:pPr>
    </w:p>
    <w:p>
      <w:pPr>
        <w:ind w:left="3660" w:hanging="1060"/>
        <w:spacing w:after="0"/>
        <w:tabs>
          <w:tab w:leader="none" w:pos="3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right="560" w:firstLine="640"/>
        <w:spacing w:after="0" w:line="263" w:lineRule="auto"/>
        <w:tabs>
          <w:tab w:leader="none" w:pos="367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3" w:lineRule="exact"/>
        <w:rPr>
          <w:rFonts w:ascii="Arial" w:cs="Arial" w:eastAsia="Arial" w:hAnsi="Arial"/>
          <w:sz w:val="18"/>
          <w:szCs w:val="18"/>
          <w:color w:val="auto"/>
        </w:rPr>
      </w:pPr>
    </w:p>
    <w:p>
      <w:pPr>
        <w:ind w:left="1960" w:right="160" w:firstLine="640"/>
        <w:spacing w:after="0" w:line="277" w:lineRule="auto"/>
        <w:tabs>
          <w:tab w:leader="none" w:pos="368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shall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65" w:lineRule="exact"/>
        <w:rPr>
          <w:sz w:val="20"/>
          <w:szCs w:val="20"/>
          <w:color w:val="auto"/>
        </w:rPr>
      </w:pPr>
    </w:p>
    <w:p>
      <w:pPr>
        <w:ind w:left="980" w:right="120" w:firstLine="1296"/>
        <w:spacing w:after="0" w:line="263" w:lineRule="auto"/>
        <w:tabs>
          <w:tab w:leader="none" w:pos="3337"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980" w:right="180" w:firstLine="1296"/>
        <w:spacing w:after="0" w:line="277" w:lineRule="auto"/>
        <w:tabs>
          <w:tab w:leader="none" w:pos="333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right="100" w:firstLine="774"/>
        <w:spacing w:after="0" w:line="257" w:lineRule="auto"/>
        <w:tabs>
          <w:tab w:leader="none" w:pos="2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660" w:right="100" w:firstLine="774"/>
        <w:spacing w:after="0" w:line="271" w:lineRule="auto"/>
        <w:tabs>
          <w:tab w:leader="none" w:pos="258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760" w:firstLine="648"/>
        <w:spacing w:after="0" w:line="292"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Borough of Malvern, Commonwealth of Pennsylvania, on this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2022.</w:t>
      </w:r>
    </w:p>
    <w:p>
      <w:pPr>
        <w:spacing w:after="0" w:line="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OCUGEN,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Shankar Musunuri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the undersigned officers and directors of Ocugen, Inc., hereby severally constitute and appoint Shankar Musunuri and Sanjay Subramanian,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February 28,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6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Shankar Musunuri</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3"/>
              </w:rPr>
              <w:t>Chairman, Chief Executive Officer and 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91"/>
              </w:rPr>
              <w:t>Shankar Musunuri</w:t>
            </w:r>
          </w:p>
        </w:tc>
        <w:tc>
          <w:tcPr>
            <w:tcW w:w="5600" w:type="dxa"/>
            <w:vAlign w:val="bottom"/>
          </w:tcPr>
          <w:p>
            <w:pPr>
              <w:jc w:val="center"/>
              <w:ind w:left="130"/>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Sanjay Subramanian</w:t>
            </w:r>
          </w:p>
        </w:tc>
        <w:tc>
          <w:tcPr>
            <w:tcW w:w="5600" w:type="dxa"/>
            <w:vAlign w:val="bottom"/>
          </w:tcPr>
          <w:p>
            <w:pPr>
              <w:jc w:val="center"/>
              <w:ind w:left="130"/>
              <w:spacing w:after="0"/>
              <w:rPr>
                <w:sz w:val="20"/>
                <w:szCs w:val="20"/>
                <w:color w:val="auto"/>
              </w:rPr>
            </w:pPr>
            <w:r>
              <w:rPr>
                <w:rFonts w:ascii="Arial" w:cs="Arial" w:eastAsia="Arial" w:hAnsi="Arial"/>
                <w:sz w:val="18"/>
                <w:szCs w:val="18"/>
                <w:color w:val="auto"/>
                <w:w w:val="91"/>
              </w:rPr>
              <w:t>Chief Financial Officer and Head of Corporate Development</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88"/>
              </w:rPr>
              <w:t>Sanjay Subramanian</w:t>
            </w:r>
          </w:p>
        </w:tc>
        <w:tc>
          <w:tcPr>
            <w:tcW w:w="5600" w:type="dxa"/>
            <w:vAlign w:val="bottom"/>
          </w:tcPr>
          <w:p>
            <w:pPr>
              <w:jc w:val="center"/>
              <w:ind w:left="13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418"/>
        </w:trPr>
        <w:tc>
          <w:tcPr>
            <w:tcW w:w="5640" w:type="dxa"/>
            <w:vAlign w:val="bottom"/>
          </w:tcPr>
          <w:p>
            <w:pPr>
              <w:jc w:val="center"/>
              <w:spacing w:after="0"/>
              <w:rPr>
                <w:sz w:val="20"/>
                <w:szCs w:val="20"/>
                <w:color w:val="auto"/>
              </w:rPr>
            </w:pPr>
            <w:r>
              <w:rPr>
                <w:rFonts w:ascii="Arial" w:cs="Arial" w:eastAsia="Arial" w:hAnsi="Arial"/>
                <w:sz w:val="18"/>
                <w:szCs w:val="18"/>
                <w:color w:val="auto"/>
                <w:w w:val="94"/>
              </w:rPr>
              <w:t>/s/ Kirsten Castillo</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7"/>
        </w:trPr>
        <w:tc>
          <w:tcPr>
            <w:tcW w:w="5640" w:type="dxa"/>
            <w:vAlign w:val="bottom"/>
            <w:tcBorders>
              <w:bottom w:val="single" w:sz="8" w:color="auto"/>
            </w:tcBorders>
          </w:tcPr>
          <w:p>
            <w:pPr>
              <w:spacing w:after="0"/>
              <w:rPr>
                <w:sz w:val="2"/>
                <w:szCs w:val="2"/>
                <w:color w:val="auto"/>
              </w:rPr>
            </w:pPr>
          </w:p>
        </w:tc>
        <w:tc>
          <w:tcPr>
            <w:tcW w:w="5600" w:type="dxa"/>
            <w:vAlign w:val="bottom"/>
          </w:tcPr>
          <w:p>
            <w:pPr>
              <w:spacing w:after="0"/>
              <w:rPr>
                <w:sz w:val="2"/>
                <w:szCs w:val="2"/>
                <w:color w:val="auto"/>
              </w:rPr>
            </w:pP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94"/>
              </w:rPr>
              <w:t>Kirsten Castillo</w:t>
            </w:r>
          </w:p>
        </w:tc>
        <w:tc>
          <w:tcPr>
            <w:tcW w:w="560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Prabhavathi Fernandes</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87"/>
              </w:rPr>
              <w:t>Prabhavathi Fernandes</w:t>
            </w:r>
          </w:p>
        </w:tc>
        <w:tc>
          <w:tcPr>
            <w:tcW w:w="560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Uday B. Kompella</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94"/>
              </w:rPr>
              <w:t>Uday B. Kompella</w:t>
            </w:r>
          </w:p>
        </w:tc>
        <w:tc>
          <w:tcPr>
            <w:tcW w:w="560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Ramesh Kumar</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89"/>
              </w:rPr>
              <w:t>Ramesh Kumar</w:t>
            </w:r>
          </w:p>
        </w:tc>
        <w:tc>
          <w:tcPr>
            <w:tcW w:w="560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Manish Potti</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92"/>
              </w:rPr>
              <w:t>Manish Potti</w:t>
            </w:r>
          </w:p>
        </w:tc>
        <w:tc>
          <w:tcPr>
            <w:tcW w:w="560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Junge Zhang</w:t>
            </w:r>
          </w:p>
        </w:tc>
        <w:tc>
          <w:tcPr>
            <w:tcW w:w="56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87"/>
              </w:rPr>
              <w:t>Junge Zhang</w:t>
            </w:r>
          </w:p>
        </w:tc>
        <w:tc>
          <w:tcPr>
            <w:tcW w:w="5600" w:type="dxa"/>
            <w:vAlign w:val="bottom"/>
          </w:tcPr>
          <w:p>
            <w:pPr>
              <w:spacing w:after="0"/>
              <w:rPr>
                <w:sz w:val="19"/>
                <w:szCs w:val="19"/>
                <w:color w:val="auto"/>
              </w:rPr>
            </w:pPr>
          </w:p>
        </w:tc>
      </w:tr>
      <w:tr>
        <w:trPr>
          <w:trHeight w:val="661"/>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-121920</wp:posOffset>
            </wp:positionV>
            <wp:extent cx="145732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Ocugen,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263 Great Valley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Reference is made to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of Ocugen,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The Registration Statement covers an aggregate of 1,796,549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Company’s Common Stock, par value $0.01 per share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issuable pursuant to non-statutory stock option grant agreements or restricted stock unit grant agreements providing for employee inducement grants between the Company and various employees, which were entered into in connection with the commencement of such employees’ employment with the Company pursuant to Nasdaq Stock Market Rule 5635(c)(4) (the “Inducement Award Agreements”). You have requested that we render the opinion set forth in this letter and we are furnishing this opinion to you pursuant to the requirements of Item 601(b)(5) of Regulation S-K under the Securities Act, in connection with the filing of the Registration Statement. No opinion is expressed herein as to any matter pertaining to the contents of the Registration Statement or the related prospectuses, other than as expressly stated herein with respect to the issuance of the Shares.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this opinion letter, we have examined the Registration Statement, including the exhibits thereto, the originals or copies, certified or otherwise identified to our satisfaction, of the Sixth Amended and Restated Articles of Incorporation, as amended, the Amended and Restated Bylaws of the Company, the Inducement Award Agreements and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also assumed that the Shares, when issued, will not exceed the maximum authorized number of shares of Common Stock under the Company’s Sixth Amended and Restated Certificate of Incorporation, as amended from time to time, minus that number of shares of Common Stock that may have been issued and are outstanding, or are reserved for issuance for other purposes, at such time. As to all matters of fact, we have relied on the representations and statements of fact made in the documents so reviewed, and we have not independently established the facts so relied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5883275</wp:posOffset>
            </wp:positionH>
            <wp:positionV relativeFrom="page">
              <wp:posOffset>586105</wp:posOffset>
            </wp:positionV>
            <wp:extent cx="145732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Ocugen,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and sold by the Company in the circumstances contemplated by the Inducement Award Agreements, assuming in each case that the individual issuances, grants or awards pursuant to the Inducement Award Agreements are duly authorized by all necessary corporate action and duly issued, granted or awarded and exercised in accordance with the requirements of law and the Inducement Award Agreements, the Shares will be legally and validly issued, fully paid and nonassessable.</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opining herein as to the General Corporation Law of the State of Delaware, and we express no opinion with respect to the applicability thereto, or the effect thereon, of the laws of any other jurisdiction or any other laws, or as to any matters of municipal law or the laws of any local agencies within any state, and the federal laws of the United States of America.</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 This opinion is for your benefit in connection with the Registration Statement and may be relied upon by you and by persons entitled to rely upon it pursuant to the applicable provisions of the Securities Act.</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rendering this opinion and giving this consent, we do not admit that we are an “expert” within the meaning of the Securities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TROUTMAN PEPPER HAMILTON SANDERS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Ocugen, Inc. Inducement Stock Option and Restricted Stock Unit Awards (June 2021 – February 2022) of our reports dated February 28, 2022, with respect to the consolidated financial statements of Ocugen, Inc., and the effectiveness of internal control over financial reporting of Ocugen, Inc., included in its Annual Report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Ocugen,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b w:val="1"/>
                <w:bCs w:val="1"/>
                <w:color w:val="auto"/>
              </w:rPr>
              <w:t>Fee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Offering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Maximum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Security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Calculation</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Per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Aggregate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1120" w:type="dxa"/>
            <w:vAlign w:val="bottom"/>
            <w:gridSpan w:val="2"/>
          </w:tcPr>
          <w:p>
            <w:pPr>
              <w:ind w:left="320"/>
              <w:spacing w:after="0"/>
              <w:rPr>
                <w:sz w:val="20"/>
                <w:szCs w:val="20"/>
                <w:color w:val="auto"/>
              </w:rPr>
            </w:pPr>
            <w:r>
              <w:rPr>
                <w:rFonts w:ascii="Arial" w:cs="Arial" w:eastAsia="Arial" w:hAnsi="Arial"/>
                <w:sz w:val="18"/>
                <w:szCs w:val="18"/>
                <w:b w:val="1"/>
                <w:bCs w:val="1"/>
                <w:color w:val="auto"/>
              </w:rPr>
              <w:t>Type</w:t>
            </w: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Security Class Title</w:t>
            </w:r>
          </w:p>
        </w:tc>
        <w:tc>
          <w:tcPr>
            <w:tcW w:w="1180" w:type="dxa"/>
            <w:vAlign w:val="bottom"/>
            <w:gridSpan w:val="2"/>
          </w:tcPr>
          <w:p>
            <w:pPr>
              <w:ind w:left="360"/>
              <w:spacing w:after="0"/>
              <w:rPr>
                <w:sz w:val="20"/>
                <w:szCs w:val="20"/>
                <w:color w:val="auto"/>
              </w:rPr>
            </w:pPr>
            <w:r>
              <w:rPr>
                <w:rFonts w:ascii="Arial" w:cs="Arial" w:eastAsia="Arial" w:hAnsi="Arial"/>
                <w:sz w:val="18"/>
                <w:szCs w:val="18"/>
                <w:b w:val="1"/>
                <w:bCs w:val="1"/>
                <w:color w:val="auto"/>
              </w:rPr>
              <w:t>Rule</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Registered(1)</w:t>
            </w: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Share</w:t>
            </w:r>
          </w:p>
        </w:tc>
        <w:tc>
          <w:tcPr>
            <w:tcW w:w="4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Offering Price</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Fee Rate</w:t>
            </w:r>
          </w:p>
        </w:tc>
        <w:tc>
          <w:tcPr>
            <w:tcW w:w="1480" w:type="dxa"/>
            <w:vAlign w:val="bottom"/>
            <w:gridSpan w:val="4"/>
          </w:tcPr>
          <w:p>
            <w:pPr>
              <w:ind w:left="120"/>
              <w:spacing w:after="0"/>
              <w:rPr>
                <w:sz w:val="20"/>
                <w:szCs w:val="20"/>
                <w:color w:val="auto"/>
              </w:rPr>
            </w:pPr>
            <w:r>
              <w:rPr>
                <w:rFonts w:ascii="Arial" w:cs="Arial" w:eastAsia="Arial" w:hAnsi="Arial"/>
                <w:sz w:val="18"/>
                <w:szCs w:val="18"/>
                <w:b w:val="1"/>
                <w:bCs w:val="1"/>
                <w:color w:val="auto"/>
                <w:w w:val="94"/>
              </w:rPr>
              <w:t>Registration Fee</w:t>
            </w:r>
          </w:p>
        </w:tc>
      </w:tr>
      <w:tr>
        <w:trPr>
          <w:trHeight w:val="195"/>
        </w:trPr>
        <w:tc>
          <w:tcPr>
            <w:tcW w:w="1000" w:type="dxa"/>
            <w:vAlign w:val="bottom"/>
            <w:tcBorders>
              <w:top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Equity</w:t>
            </w: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Common stock, par</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ind w:left="360"/>
              <w:spacing w:after="0" w:line="195" w:lineRule="exact"/>
              <w:rPr>
                <w:sz w:val="20"/>
                <w:szCs w:val="20"/>
                <w:color w:val="auto"/>
              </w:rPr>
            </w:pPr>
            <w:r>
              <w:rPr>
                <w:rFonts w:ascii="Arial" w:cs="Arial" w:eastAsia="Arial" w:hAnsi="Arial"/>
                <w:sz w:val="18"/>
                <w:szCs w:val="18"/>
                <w:color w:val="auto"/>
              </w:rPr>
              <w:t>457(h)</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157,450(2)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985,637.00(3)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91.37</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150,750(2)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6.66(3)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1,003,995.00(3)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93.07</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593,040.00(3)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54.97</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137,250(2)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7.54(3)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1,034,865.00(3)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95.93</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422,608.00(3)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93,000(2)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8.13(3)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756,090.00(3)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70.09</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33,885.00(3)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687,872(2)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4.32(3)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2,971,607.04(3)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275.47</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99,396(2)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422,433.00(3)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26,300(4)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108,619.00(5)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104,282.50(5)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14,100(4)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58,233.00(5)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94,990.00(5)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33,866.00(5)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64,428.00(5)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1,150(4)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4,749.50(5)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02"/>
        </w:trPr>
        <w:tc>
          <w:tcPr>
            <w:tcW w:w="1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190,198(4)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785,517.74(5)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w:t>
            </w:r>
          </w:p>
        </w:tc>
      </w:tr>
      <w:tr>
        <w:trPr>
          <w:trHeight w:val="202"/>
        </w:trPr>
        <w:tc>
          <w:tcPr>
            <w:tcW w:w="11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Equity</w:t>
            </w:r>
          </w:p>
        </w:tc>
        <w:tc>
          <w:tcPr>
            <w:tcW w:w="20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Common stock, par</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457(h)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88"/>
              </w:rPr>
              <w:t>value $0.01 per share</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27,483(4)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113,504.79(5)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0.0000927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Borders>
              <w:top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1"/>
              </w:rPr>
              <w:t>Total Offering Amounts</w:t>
            </w:r>
          </w:p>
        </w:tc>
        <w:tc>
          <w:tcPr>
            <w:tcW w:w="16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$ 9,592,350.57</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80" w:type="dxa"/>
            <w:vAlign w:val="bottom"/>
            <w:tcBorders>
              <w:bottom w:val="single" w:sz="8" w:color="CCEEFF"/>
            </w:tcBorders>
          </w:tcPr>
          <w:p>
            <w:pPr>
              <w:jc w:val="center"/>
              <w:ind w:left="190"/>
              <w:spacing w:after="0"/>
              <w:rPr>
                <w:sz w:val="20"/>
                <w:szCs w:val="20"/>
                <w:color w:val="auto"/>
              </w:rPr>
            </w:pPr>
            <w:r>
              <w:rPr>
                <w:rFonts w:ascii="Arial" w:cs="Arial" w:eastAsia="Arial" w:hAnsi="Arial"/>
                <w:sz w:val="18"/>
                <w:szCs w:val="18"/>
                <w:b w:val="1"/>
                <w:bCs w:val="1"/>
                <w:color w:val="auto"/>
                <w:w w:val="87"/>
              </w:rPr>
              <w:t>Total Fee Offsets</w:t>
            </w:r>
          </w:p>
        </w:tc>
        <w:tc>
          <w:tcPr>
            <w:tcW w:w="16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0"/>
              </w:rPr>
              <w:t>Net Fee Due</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889.22</w:t>
            </w:r>
          </w:p>
        </w:tc>
        <w:tc>
          <w:tcPr>
            <w:tcW w:w="100" w:type="dxa"/>
            <w:vAlign w:val="bottom"/>
            <w:shd w:val="clear" w:color="auto" w:fill="CCEEFF"/>
          </w:tcPr>
          <w:p>
            <w:pPr>
              <w:spacing w:after="0"/>
              <w:rPr>
                <w:sz w:val="18"/>
                <w:szCs w:val="18"/>
                <w:color w:val="auto"/>
              </w:rPr>
            </w:pPr>
          </w:p>
        </w:tc>
      </w:tr>
      <w:tr>
        <w:trPr>
          <w:trHeight w:val="668"/>
        </w:trPr>
        <w:tc>
          <w:tcPr>
            <w:tcW w:w="5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ind w:left="-8" w:firstLine="8"/>
        <w:spacing w:after="0" w:line="279" w:lineRule="auto"/>
        <w:tabs>
          <w:tab w:leader="none" w:pos="247"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Pursuant to Rule 416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on Form S-8 shall also cover any additional shares of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Ocugen, Inc. (the “</w:t>
      </w:r>
      <w:r>
        <w:rPr>
          <w:rFonts w:ascii="Arial" w:cs="Arial" w:eastAsia="Arial" w:hAnsi="Arial"/>
          <w:sz w:val="17"/>
          <w:szCs w:val="17"/>
          <w:u w:val="single" w:color="auto"/>
          <w:color w:val="auto"/>
        </w:rPr>
        <w:t>Company</w:t>
      </w:r>
      <w:r>
        <w:rPr>
          <w:rFonts w:ascii="Arial" w:cs="Arial" w:eastAsia="Arial" w:hAnsi="Arial"/>
          <w:sz w:val="17"/>
          <w:szCs w:val="17"/>
          <w:color w:val="auto"/>
        </w:rPr>
        <w:t>”), as may 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pacing w:after="0" w:line="171" w:lineRule="exact"/>
        <w:rPr>
          <w:rFonts w:ascii="Arial" w:cs="Arial" w:eastAsia="Arial" w:hAnsi="Arial"/>
          <w:sz w:val="17"/>
          <w:szCs w:val="17"/>
          <w:color w:val="auto"/>
        </w:rPr>
      </w:pPr>
    </w:p>
    <w:p>
      <w:pPr>
        <w:ind w:left="-8" w:right="400" w:firstLine="8"/>
        <w:spacing w:after="0" w:line="342"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shares issuable pursuant to new hire inducement stock option awards granted between June 1, 2021 and February 28, 2022 to certain employees in accordance with Nasdaq Listing Rule 5635(c)(4), as an inducement material to their entering into employment with the Company.</w:t>
      </w:r>
    </w:p>
    <w:p>
      <w:pPr>
        <w:spacing w:after="0" w:line="123" w:lineRule="exact"/>
        <w:rPr>
          <w:rFonts w:ascii="Arial" w:cs="Arial" w:eastAsia="Arial" w:hAnsi="Arial"/>
          <w:sz w:val="16"/>
          <w:szCs w:val="16"/>
          <w:color w:val="auto"/>
        </w:rPr>
      </w:pPr>
    </w:p>
    <w:p>
      <w:pPr>
        <w:ind w:left="-8" w:right="360" w:firstLine="8"/>
        <w:spacing w:after="0" w:line="263"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pursuant to Rule 457(c) and Rule 457(h) of the Securities Act solely for the purpose of calculating the registration fee. The proposed maximum offering price per share and proposed maximum aggregate offering price are calculated on the basis of the exercise price of the applicable inducement stock option award.</w:t>
      </w:r>
    </w:p>
    <w:p>
      <w:pPr>
        <w:spacing w:after="0" w:line="183" w:lineRule="exact"/>
        <w:rPr>
          <w:rFonts w:ascii="Arial" w:cs="Arial" w:eastAsia="Arial" w:hAnsi="Arial"/>
          <w:sz w:val="18"/>
          <w:szCs w:val="18"/>
          <w:color w:val="auto"/>
        </w:rPr>
      </w:pPr>
    </w:p>
    <w:p>
      <w:pPr>
        <w:ind w:left="-8" w:right="360" w:firstLine="8"/>
        <w:spacing w:after="0" w:line="342"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shares issuable pursuant to new hire inducement restricted stock units granted between June 1, 2021 and February 28, 2022 to certain employees in accordance with Nasdaq Listing Rule 5635(c)(4), as an inducement material to their entering into employment with the Company.</w:t>
      </w:r>
    </w:p>
    <w:p>
      <w:pPr>
        <w:spacing w:after="0" w:line="123" w:lineRule="exact"/>
        <w:rPr>
          <w:rFonts w:ascii="Arial" w:cs="Arial" w:eastAsia="Arial" w:hAnsi="Arial"/>
          <w:sz w:val="16"/>
          <w:szCs w:val="16"/>
          <w:color w:val="auto"/>
        </w:rPr>
      </w:pPr>
    </w:p>
    <w:p>
      <w:pPr>
        <w:ind w:left="-8" w:right="260" w:firstLine="8"/>
        <w:spacing w:after="0" w:line="263"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pursuant to Rule 457(c) and Rule 457(h) of the Securities Act solely for the purpose of calculating the registration fee. The proposed maximum offering price per share and proposed maximum aggregate offering price are based on the average of the high and low prices of Company’s Common Stock as reported on The Nasdaq Stock Market LLC on 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52"/>
      </w:cols>
      <w:pgMar w:left="328" w:top="9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jpe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18" Type="http://schemas.openxmlformats.org/officeDocument/2006/relationships/hyperlink" Target="http://www.sec.gov/ix?doc=/Archives/edgar/data/1372299/000110465922008991/tm224451d1_8k.htm" TargetMode="External"/><Relationship Id="rId19" Type="http://schemas.openxmlformats.org/officeDocument/2006/relationships/hyperlink" Target="http://www.sec.gov/ix?doc=/Archives/edgar/data/1372299/000162828022001681/ocgn-20220202.htm" TargetMode="External"/><Relationship Id="rId20" Type="http://schemas.openxmlformats.org/officeDocument/2006/relationships/hyperlink" Target="http://www.sec.gov/ix?doc=/Archives/edgar/data/1372299/000162828022002547/ocgn-20220214.htm" TargetMode="External"/><Relationship Id="rId21" Type="http://schemas.openxmlformats.org/officeDocument/2006/relationships/hyperlink" Target="http://www.sec.gov/ix?doc=/Archives/edgar/data/1372299/000162828022003248/ocgn-20220222.htm" TargetMode="External"/><Relationship Id="rId22" Type="http://schemas.openxmlformats.org/officeDocument/2006/relationships/hyperlink" Target="http://www.sec.gov/ix?doc=/Archives/edgar/data/1372299/000162828022003244/ocgn-20220218.htm" TargetMode="External"/><Relationship Id="rId23" Type="http://schemas.openxmlformats.org/officeDocument/2006/relationships/hyperlink" Target="http://www.sec.gov/ix?doc=/Archives/edgar/data/0001372299/000110465922026996/tm227637d1_8k.htm" TargetMode="External"/><Relationship Id="rId24" Type="http://schemas.openxmlformats.org/officeDocument/2006/relationships/hyperlink" Target="http://www.sec.gov/Archives/edgar/data/1372299/000119312514416483/d822694d8a12b.htm" TargetMode="External"/><Relationship Id="rId27" Type="http://schemas.openxmlformats.org/officeDocument/2006/relationships/hyperlink" Target="http://www.sec.gov/Archives/edgar/data/1372299/000119312514436359/d834595dex31.htm" TargetMode="External"/><Relationship Id="rId28" Type="http://schemas.openxmlformats.org/officeDocument/2006/relationships/hyperlink" Target="http://www.sec.gov/Archives/edgar/data/1372299/000110465919052266/a19-19180_3ex3d1.htm" TargetMode="External"/><Relationship Id="rId29" Type="http://schemas.openxmlformats.org/officeDocument/2006/relationships/hyperlink" Target="http://www.sec.gov/Archives/edgar/data/1372299/000110465919052266/a19-19180_3ex3d2.htm" TargetMode="External"/><Relationship Id="rId30" Type="http://schemas.openxmlformats.org/officeDocument/2006/relationships/hyperlink" Target="http://www.sec.gov/Archives/edgar/data/1372299/000162828021009457/ocgn-20210331x10qxex31.htm" TargetMode="External"/><Relationship Id="rId31" Type="http://schemas.openxmlformats.org/officeDocument/2006/relationships/hyperlink" Target="http://www.sec.gov/Archives/edgar/data/1372299/000110465919052266/a19-19180_3ex3d3.htm" TargetMode="External"/><Relationship Id="rId32" Type="http://schemas.openxmlformats.org/officeDocument/2006/relationships/hyperlink" Target="http://www.sec.gov/Archives/edgar/data/1372299/000162828021015998/ocgn-20210630x10qxex102.htm" TargetMode="External"/><Relationship Id="rId33" Type="http://schemas.openxmlformats.org/officeDocument/2006/relationships/hyperlink" Target="http://www.sec.gov/Archives/edgar/data/1372299/000162828021015998/ocgn-20210630x10q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2022-02-28T06:47:31Z</dcterms:created>
  <dcterms:modified xsi:type="dcterms:W3CDTF">2022-02-28T06:47:31Z</dcterms:modified>
</cp:coreProperties>
</file>