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4578d1_8k.htm"/>
      <w:bookmarkStart w:id="1" w:name="kstm261457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5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D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720"/>
        <w:gridCol w:w="60"/>
        <w:gridCol w:w="1775"/>
        <w:gridCol w:w="60"/>
        <w:gridCol w:w="1880"/>
      </w:tblGrid>
      <w:tr>
        <w:trPr/>
        <w:tc>
          <w:tcPr>
            <w:tcW w:w="272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6" w:name="xdx_904_edei--EntityFileNumber_c20260514"/>
            <w:bookmarkEnd w:id="6"/>
            <w:r>
              <w:rPr>
                <w:b/>
                <w:sz w:val="20"/>
              </w:rPr>
              <w:t>001-36751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7_edei--EntityTaxIdentificationNum"/>
            <w:bookmarkEnd w:id="7"/>
            <w:r>
              <w:rPr>
                <w:b/>
                <w:sz w:val="20"/>
              </w:rPr>
              <w:t>04-3522315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(Commission File</w:t>
              <w:br/>
              <w:t>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11 Great Valley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Malvern, </w:t>
            </w:r>
            <w:bookmarkStart w:id="10" w:name="xdx_906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1" w:name="xdx_90F_edei--EntityAddressPostalZipCode"/>
            <w:bookmarkEnd w:id="11"/>
            <w:r>
              <w:rPr>
                <w:b/>
                <w:sz w:val="20"/>
              </w:rPr>
              <w:t>19355</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514__20"/>
      <w:bookmarkEnd w:id="12"/>
      <w:r>
        <w:rPr>
          <w:rFonts w:ascii="Times New Roman;Times;Serif" w:hAnsi="Times New Roman;Times;Serif"/>
          <w:b/>
          <w:i w:val="false"/>
          <w:caps w:val="false"/>
          <w:smallCaps w:val="false"/>
          <w:sz w:val="20"/>
        </w:rPr>
        <w:t xml:space="preserve">484) </w:t>
      </w:r>
      <w:bookmarkStart w:id="13" w:name="xdx_903_edei--LocalPhoneNumber_c20260514"/>
      <w:bookmarkEnd w:id="13"/>
      <w:r>
        <w:rPr>
          <w:rFonts w:ascii="Times New Roman;Times;Serif" w:hAnsi="Times New Roman;Times;Serif"/>
          <w:b/>
          <w:i w:val="false"/>
          <w:caps w:val="false"/>
          <w:smallCaps w:val="false"/>
          <w:sz w:val="20"/>
        </w:rPr>
        <w:t>328-4701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E_edei--SolicitingMaterial_c202605"/>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75"/>
        <w:gridCol w:w="60"/>
        <w:gridCol w:w="860"/>
        <w:gridCol w:w="60"/>
        <w:gridCol w:w="267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B_edei--Security12bTitle_c20260514"/>
            <w:bookmarkEnd w:id="18"/>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1_edei--TradingSymbol_c20260514__2"/>
            <w:bookmarkEnd w:id="19"/>
            <w:r>
              <w:rPr>
                <w:rFonts w:ascii="Times New Roman;Times;Serif" w:hAnsi="Times New Roman;Times;Serif"/>
                <w:b/>
                <w:sz w:val="20"/>
              </w:rPr>
              <w:t>OCGN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8_edei--SecurityExchangeName_c2026"/>
            <w:bookmarkEnd w:id="20"/>
            <w:r>
              <w:rPr>
                <w:rFonts w:ascii="Times New Roman;Times;Serif" w:hAnsi="Times New Roman;Times;Serif"/>
                <w:b/>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May 7, 2026, Ocugen, Inc. (the “Company”) completed the closing under its previously announced private offering (the “offering”) of $115.0 million aggregate principal amount of 6.75% Convertible Senior Notes due 2034 (the “notes”). The notes were issued pursuant to an indenture, dated May 7, 2026 (the “Indenture”), between the Company and U.S. Bank Trust Company, National Association,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On May 14, 2026, the Company issued an additional $15.0 million aggregate principal amount of notes (the “additional notes”) pursuant to the exercise in full of the over-allotment option granted by the Company to the initial purchaser in the offering. The additional notes were issued under the Indenture and may not be converted prior to the earlier of (i) May 15, 2027 and (ii) the “reserved share effective date” (as defined in the Indenture). Upon conversion, the Company will pay or deliver, as the case may be, cash, shares of the Company’s common stock, par value $0.01 per share (the “common stock”), or a combination of cash and shares of common stock, at the Company’s election, in the manner and subject to the terms and conditions provided in the Indenture, and, in the case of shares of common stock, subject to certain limitations; provided that unless and until the reserved share effective date occurs, the Company will settle conversion of notes solely with cash. Certain terms of the Indenture and the notes are described in Item 1.01 of the Company’s Current Report on Form 8-K filed with the Securities and Exchange Commission on </w:t>
      </w:r>
      <w:hyperlink r:id="rId2">
        <w:r>
          <w:rPr>
            <w:rStyle w:val="InternetLink"/>
            <w:rFonts w:ascii="Times New Roman;Times;Serif" w:hAnsi="Times New Roman;Times;Serif"/>
            <w:b w:val="false"/>
            <w:i w:val="false"/>
            <w:caps w:val="false"/>
            <w:smallCaps w:val="false"/>
            <w:sz w:val="20"/>
          </w:rPr>
          <w:t>May 7, 2026</w:t>
        </w:r>
      </w:hyperlink>
      <w:r>
        <w:rPr>
          <w:rFonts w:ascii="Times New Roman;Times;Serif" w:hAnsi="Times New Roman;Times;Serif"/>
          <w:b w:val="false"/>
          <w:i w:val="false"/>
          <w:caps w:val="false"/>
          <w:smallCaps w:val="false"/>
          <w:sz w:val="20"/>
        </w:rPr>
        <w:t xml:space="preserve"> (the “Prior 8-K”), which descriptions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Indenture and of the notes does not purport to be complete and is qualified in its entirety by reference to the complete text of the Indenture and the form of note attached thereto, which was filed as an exhibit to the Prior 8-K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offered and sold the additional notes to the initial purchaser in reliance on the exemption from registration provided by Section 4(a)(2) of the Securities Act of 1933, as amended (the “Securities Act”), and for resale by the initial purchaser to persons reasonably believed to be qualified institutional buyers pursuant to the exemption from registration provided by Rule 144A under the Securities Act. The Company relied on these exemptions from registration based in part on representations made by the initial purchaser in the purchase agreement dated May 4, 2026 by and among the Company and the initial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notes and the shares of common stock issuable upon conversion of the additional notes, if any,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shares of common stock are issued upon conversion of the additional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A maximum of 8,108,108 shares of common stock may be issued upon conversion of the additional notes based on the maximum conversion rate of 540.5405 shares of common stock per $1,000 principal amount of the additional notes, subject to adjustment as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Company issued a press release announcing the closing of the offering and the issuance of the additional notes. A copy of the press release is furnished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and Exhibit 99.1 shall not be deemed to be “filed” for the purposes of Section 18 of the Exchange Act, or otherwise subject to the liabilities of such section, nor will such information be deemed incorporated by reference in any filing under the Securities Act, or the Exchange Act, except as may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9"/>
        <w:gridCol w:w="60"/>
        <w:gridCol w:w="9126"/>
      </w:tblGrid>
      <w:tr>
        <w:trPr/>
        <w:tc>
          <w:tcPr>
            <w:tcW w:w="10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19"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Indenture, dated as of May 7, 2026, between Ocugen, Inc. and U.S. Bank Trust Company, National Association (filed as Exhibit 4.1 to the Company’s Current Report on Form 8-K as filed on May 7, 2026 and incorporated herein by reference).</w:t>
              </w:r>
            </w:hyperlink>
          </w:p>
        </w:tc>
      </w:tr>
      <w:tr>
        <w:trPr/>
        <w:tc>
          <w:tcPr>
            <w:tcW w:w="10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Form of 6.75% Convertible Senior Notes due 2034 (filed as Exhibit A to Exhibit 4.1 to the Company’s Current Report on Form 8-K as filed on May 7, 2026 and incorporated herein by reference).</w:t>
              </w:r>
            </w:hyperlink>
          </w:p>
        </w:tc>
      </w:tr>
      <w:tr>
        <w:trPr/>
        <w:tc>
          <w:tcPr>
            <w:tcW w:w="10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hyperlink w:anchor="tm261457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hyperlink w:anchor="tm2614578d1_ex99-1.htm">
              <w:r>
                <w:rPr>
                  <w:rStyle w:val="InternetLink"/>
                  <w:rFonts w:ascii="Times New Roman;Times;Serif" w:hAnsi="Times New Roman;Times;Serif"/>
                  <w:sz w:val="20"/>
                </w:rPr>
                <w:t>Press Release of Ocugen, Inc. dated May 14, 2026.</w:t>
              </w:r>
            </w:hyperlink>
          </w:p>
        </w:tc>
      </w:tr>
      <w:tr>
        <w:trPr/>
        <w:tc>
          <w:tcPr>
            <w:tcW w:w="10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655"/>
        <w:gridCol w:w="320"/>
        <w:gridCol w:w="4595"/>
      </w:tblGrid>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Shankar Musunuri</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4578d1_ex99-1.htm"/>
      <w:bookmarkStart w:id="23" w:name="kstm2614578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Inc. Announces Closing for $130.0 Million of 6.75% Convertible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Includes Full Exercise of $15.0 million Over-Allotment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May 14, 2026 (GLOBE NEWSWIRE) — Ocugen, Inc. (Ocugen or the Company) (NASDAQ: OCGN), a pioneering biotechnology leader in gene therapies for blindness diseases, today announced the closing of $130.0 million aggregate principal amount of 6.75% Convertible Senior Notes due 2034 (the “notes”) in a private offering (the “offering”) to qualified institutional buyers pursuant to Rule 144A under the Securities Act of 1933, as amended (the “Securities Act”), including the full exercise by the initial purchaser of its option to purchase an additional $15.0 million aggregate principal amount of the notes. The sale of the notes is expected to result in approximately $112.6 million in net proceeds to Ocugen after deducting the initial purchaser’s discount and estimated offering expenses payable by Ocugen.</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notes was 90% of the principal amount of the notes. Ocugen used approximately $32.7 million of the net proceeds from the offering to fully repay the outstanding principal amount of, plus accrued and unpaid interest on, the loan outstanding under its Loan and Security Agreement with affiliates of Avenue Capital Group (the “Avenue Loan Agreement”), and pay the related prepayment fee and other fees and expenses in connection therewith. Ocugen expects to use the remaining net proceeds from the offering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milestone reflects the strong momentum we have built across our late-stage pipeline and our unwavering commitment to the patients we serve," said Dr. Shankar Musunuri, Chairman, Chief Executive Officer, and Co-founder of Ocugen. "With our anticipated cash runway extended into 2028, we are well-positioned to advance three late-stage programs and execute toward our goal of filing three BLAs by 2028, bringing potentially transformative therapies to patients who have long awaited meaningful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Ocugen,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 is a pioneering biotechnology leader in gene therapies for blindness diseases. Our breakthrough modifier gene therapy platform has the potential to address significant unmet medical need for large patient populations through our gene-agnostic approach. Unlike traditional gene therapies and gene editing, Ocugen’s modifier gene therapies address the entire disease—complex diseases that are potentially caused by imbalances in multiple gene networks. Currently we have programs in development for inherited retinal diseases and blindness diseases affecting millions across the globe, including retinitis pigmentosa, Stargardt disease, and geographic atrophy—late-stage dry age-related macular degeneration. Discover more at </w:t>
      </w:r>
      <w:r>
        <w:rPr>
          <w:rFonts w:ascii="Times New Roman;Times;Serif" w:hAnsi="Times New Roman;Times;Serif"/>
          <w:b w:val="false"/>
          <w:i w:val="false"/>
          <w:caps w:val="false"/>
          <w:smallCaps w:val="false"/>
          <w:sz w:val="20"/>
          <w:u w:val="single"/>
        </w:rPr>
        <w:t>www.ocugen.com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which are subject to risks and uncertainties, including but not limited to, statements regarding the anticipated use of proceeds from the offering, Ocugen’s anticipated cash runway, the timing of future BLA filings, the potential to bring therapies to patients, and other statements contained in this press release that are not historical facts. Ocugen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Ocugen’s current expectations, including, but not limited to: risks related to the offering and uncertainties related to market conditions; the impact of the offering on the market price of Ocugen’s common stock; and risks related to the potential dilution to holders of Ocugen’s common stock. These and other risks and uncertainties are more fully described in Ocugen’s periodic filings with the Securities and Exchange Commission (SEC), including the risk factors described in the section entitled “Risk Factors” in the quarterly and annual reports that Ocugen files with the SEC. Any forward-looking statements that Ocugen makes in this press release speak only as of the date of this press release. Except as required by law, Ocugen assumes no obligation to update forward-looking statements contained in this press release whether as a result of new information, future events, or otherwise,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Candice Masse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candice.masse@astrpartners.com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372299/000110465926057138/tm2613898d1_8k.htm" TargetMode="External"/><Relationship Id="rId3" Type="http://schemas.openxmlformats.org/officeDocument/2006/relationships/hyperlink" Target="https://www.sec.gov/Archives/edgar/data/1372299/000110465926057138/tm2613898d1_ex4-1.htm" TargetMode="External"/><Relationship Id="rId4" Type="http://schemas.openxmlformats.org/officeDocument/2006/relationships/hyperlink" Target="https://www.sec.gov/Archives/edgar/data/1372299/000110465926057138/tm2613898d1_ex4-1.htm" TargetMode="External"/><Relationship Id="rId5" Type="http://schemas.openxmlformats.org/officeDocument/2006/relationships/hyperlink" Target="https://www.sec.gov/Archives/edgar/data/1372299/000110465926057138/tm2613898d1_ex4-1.htm" TargetMode="External"/><Relationship Id="rId6" Type="http://schemas.openxmlformats.org/officeDocument/2006/relationships/hyperlink" Target="https://www.sec.gov/Archives/edgar/data/1372299/000110465926057138/tm2613898d1_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1921</Words>
  <Characters>10517</Characters>
  <CharactersWithSpaces>12448</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