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3898d1_8k.htm"/>
      <w:bookmarkStart w:id="1" w:name="kstm2613898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5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B_edei--DocumentPeriodEndDate_c202"/>
      <w:bookmarkEnd w:id="3"/>
      <w:r>
        <w:rPr>
          <w:rFonts w:ascii="Times New Roman;Times;Serif" w:hAnsi="Times New Roman;Times;Serif"/>
          <w:b/>
          <w:i w:val="false"/>
          <w:caps w:val="false"/>
          <w:smallCaps w:val="false"/>
          <w:sz w:val="20"/>
        </w:rPr>
        <w:t>May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OCUGEN,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2720"/>
        <w:gridCol w:w="60"/>
        <w:gridCol w:w="1775"/>
        <w:gridCol w:w="60"/>
        <w:gridCol w:w="1880"/>
      </w:tblGrid>
      <w:tr>
        <w:trPr/>
        <w:tc>
          <w:tcPr>
            <w:tcW w:w="2720" w:type="dxa"/>
            <w:tcBorders/>
            <w:vAlign w:val="center"/>
          </w:tcPr>
          <w:p>
            <w:pPr>
              <w:pStyle w:val="TableContents"/>
              <w:bidi w:val="0"/>
              <w:spacing w:before="0" w:after="283"/>
              <w:jc w:val="center"/>
              <w:rPr>
                <w:b/>
                <w:sz w:val="20"/>
              </w:rPr>
            </w:pPr>
            <w:bookmarkStart w:id="5" w:name="xdx_905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6" w:name="xdx_90E_edei--EntityFileNumber_c20260507"/>
            <w:bookmarkEnd w:id="6"/>
            <w:r>
              <w:rPr>
                <w:b/>
                <w:sz w:val="20"/>
              </w:rPr>
              <w:t>001-36751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sz w:val="20"/>
              </w:rPr>
            </w:pPr>
            <w:bookmarkStart w:id="7" w:name="xdx_90C_edei--EntityTaxIdentificationNum"/>
            <w:bookmarkEnd w:id="7"/>
            <w:r>
              <w:rPr>
                <w:b/>
                <w:sz w:val="20"/>
              </w:rPr>
              <w:t>04-3522315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r>
              <w:rPr>
                <w:b/>
              </w:rPr>
              <w:t>(Commission File</w:t>
              <w:br/>
              <w:t>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11 Great Valley Parkway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2_edei--EntityAddressCityOrTown_c2"/>
            <w:bookmarkEnd w:id="9"/>
            <w:r>
              <w:rPr>
                <w:rFonts w:ascii="Times New Roman;Times;Serif" w:hAnsi="Times New Roman;Times;Serif"/>
                <w:b/>
                <w:i w:val="false"/>
                <w:caps w:val="false"/>
                <w:smallCaps w:val="false"/>
                <w:sz w:val="20"/>
              </w:rPr>
              <w:t xml:space="preserve">Malvern, </w:t>
            </w:r>
            <w:bookmarkStart w:id="10" w:name="xdx_908_edei--EntityAddressStateOrProvin"/>
            <w:bookmarkEnd w:id="10"/>
            <w:r>
              <w:rPr>
                <w:rFonts w:ascii="Times New Roman;Times;Serif" w:hAnsi="Times New Roman;Times;Serif"/>
                <w:b/>
                <w:i w:val="false"/>
                <w:caps w:val="false"/>
                <w:smallCaps w:val="false"/>
                <w:sz w:val="20"/>
              </w:rPr>
              <w:t xml:space="preserve">Pennsylvania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bookmarkStart w:id="11" w:name="xdx_902_edei--EntityAddressPostalZipCode"/>
            <w:bookmarkEnd w:id="11"/>
            <w:r>
              <w:rPr>
                <w:b/>
                <w:sz w:val="20"/>
              </w:rPr>
              <w:t>19355</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4_edei--CityAreaCode_c20260507__20"/>
      <w:bookmarkEnd w:id="12"/>
      <w:r>
        <w:rPr>
          <w:rFonts w:ascii="Times New Roman;Times;Serif" w:hAnsi="Times New Roman;Times;Serif"/>
          <w:b/>
          <w:i w:val="false"/>
          <w:caps w:val="false"/>
          <w:smallCaps w:val="false"/>
          <w:sz w:val="20"/>
        </w:rPr>
        <w:t xml:space="preserve">484) </w:t>
      </w:r>
      <w:bookmarkStart w:id="13" w:name="xdx_904_edei--LocalPhoneNumber_c20260507"/>
      <w:bookmarkEnd w:id="13"/>
      <w:r>
        <w:rPr>
          <w:rFonts w:ascii="Times New Roman;Times;Serif" w:hAnsi="Times New Roman;Times;Serif"/>
          <w:b/>
          <w:i w:val="false"/>
          <w:caps w:val="false"/>
          <w:smallCaps w:val="false"/>
          <w:sz w:val="20"/>
        </w:rPr>
        <w:t>328-4701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C_edei--WrittenCommunications_c202"/>
            <w:bookmarkEnd w:id="14"/>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D_edei--SolicitingMaterial_c202605"/>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E_edei--PreCommencementIssuerTende"/>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28" w:type="dxa"/>
          <w:right w:w="0" w:type="dxa"/>
        </w:tblCellMar>
      </w:tblPr>
      <w:tblGrid>
        <w:gridCol w:w="3575"/>
        <w:gridCol w:w="60"/>
        <w:gridCol w:w="860"/>
        <w:gridCol w:w="60"/>
        <w:gridCol w:w="2675"/>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w:t>
              <w:br/>
              <w:t>on which registered</w:t>
            </w:r>
          </w:p>
        </w:tc>
      </w:tr>
      <w:tr>
        <w:trPr/>
        <w:tc>
          <w:tcPr>
            <w:tcW w:w="35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F_edei--Security12bTitle_c20260507"/>
            <w:bookmarkEnd w:id="18"/>
            <w:r>
              <w:rPr>
                <w:rFonts w:ascii="Times New Roman;Times;Serif" w:hAnsi="Times New Roman;Times;Serif"/>
                <w:b/>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A_edei--TradingSymbol_c20260507__2"/>
            <w:bookmarkEnd w:id="19"/>
            <w:r>
              <w:rPr>
                <w:rFonts w:ascii="Times New Roman;Times;Serif" w:hAnsi="Times New Roman;Times;Serif"/>
                <w:b/>
                <w:sz w:val="20"/>
              </w:rPr>
              <w:t>OCGN</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0" w:name="xdx_90B_edei--SecurityExchangeName_c2026"/>
            <w:bookmarkEnd w:id="20"/>
            <w:r>
              <w:rPr>
                <w:rFonts w:ascii="Times New Roman;Times;Serif" w:hAnsi="Times New Roman;Times;Serif"/>
                <w:b/>
                <w:i w:val="false"/>
                <w:caps w:val="false"/>
                <w:smallCaps w:val="false"/>
                <w:sz w:val="20"/>
              </w:rPr>
              <w:t>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Indenture and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Ocugen, Inc. (the “Company”) completed its previously announced private offering (the “offering”) of $115.0 million aggregate principal amount of 6.75% Convertible Senior Notes due 2034 (the “notes”). The notes were issued pursuant to an indenture, dated May 7, 2026 (the “Indenture”), between the Company and U.S. Bank Trust Company, National Association,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general unsecured obligations of the Company and rank senior in right of payment to all of its future indebtedness that is expressly subordinated in right of payment to the notes, equal in right of payment to all of its existing and future liabilities that are not so subordinated, and junior to all of its secured indebtedness, to the extent of the value of the assets securing such indebtedness. The notes bear interest at a rate of 6.75% per year. Interest is payable semi-annually in arrears on May 15 and November 15 of each year, beginning on November 15, 2026. The notes mature on May 15, 2034, unless earlier repurchased, redeemed or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may not be converted prior to the earlier of (i) May 15, 2027 and (ii) the “reserved share effective date” (as defined in the Indenture) (such earlier date, the “conversion limit end date”). On or after the conversion limit end date, the notes are convertible at the option of the holders at any time prior to the close of business on the second scheduled trading day immediately preceding the maturity date, as described below. Upon conversion, the Company will pay or deliver, as the case may be, cash, shares of the Company’s common stock, par value $0.01 per share (the “common stock”), or a combination of cash and shares of common stock, at the Company’s election, in the manner and subject to the terms and conditions provided in the Indenture, and, in the case of shares of common stock, subject to application of the Exchange Cap, if applicable; provided that unless and until the reserved share effective date occurs, the Company will settle conversion of notes solely with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until stockholder approval for the issuance of common stock pursuant to a conversion of the notes is obtained, the maximum number of common stock that the Company can issue pursuant to any conversion of notes by physical settlement will be 67,629,947 shares of common stock to comply with Nasdaq Rule 5635(d) (the “Exchange Cap”). The indenture will require that any conversion of notes be settled by cash settlement if settlement by the issuance of common stock would otherwise violate Nasdaq Rule 5635(d).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of the notes will initially be 372.7866 shares of common stock per $1,000 principal amount of notes, which is equivalent to an initial conversion price of approximately $2.68 per share of common stock. The initial conversion price of the notes represents a premium of approximately 45% over the last reported sale price of $1.85 per share of common stock on The Nasdaq Capital Market on May 4, 2026. The conversion rate for the notes is subject to adjustment under certain circumstances in accordance with the terms of the Indenture. In addition, following certain corporate events that occur prior to the maturity date or if the Company delivers a notice of redemption in respect of the notes, the Company will, in certain circumstances, increase the conversion rate of the notes for a holder who elects to convert its notes in connection with such a corporate event or convert its notes called (or deemed called) for redemption during the related redemption period (as defined in the Indenture),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redeem the notes prior to May 15, 2029. The Company may redeem for cash all or any portion of the notes (subject to certain limitations), at its option, on or after May 15, 2029 and prior to the 41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scheduled trading day immediately preceding the maturity date, if the last reported sale price of the common stock has been at least 130% of the conversion price for the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However, the Company may not redeem less than all of the outstanding notes unless at least $25.0 million aggregate principal amount of notes are outstanding and not called for redemption as of the time we send the related notice of redemption (and after giving effect to the delivery of such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notes may require the Company to repurchase for cash all or any portion of their notes on May 15, 2032 at a repurchase price equal to 100% of the principal amount of notes to be repurchased, plus accrued and unpaid interest to, but excluding, May 15, 2032. In addition, if the Company undergoes a fundamental change (as defined in the Indenture), then, subject to certain conditions and except as set forth in the Indenture, holders may require the Company to repurchase for cash all or any portion of their notes at a repurchase price equal to 100% of the principal amount of the notes to be repurchased, plus accrued and unpaid interest to, but excluding, the fundamental change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includes customary covenants and sets forth certain events of default after which the notes may be declared immediately due and payable and sets forth certain types of bankruptcy or insolvency events of default involving the Company after which the notes become automatically due and payable. The following events are considered “events of default” under the Indenture: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default in any payment of interest on any note when due and payable and the default continues for a period of 30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default in the payment of principal of any note when due and payable at its stated maturity, upon optional redemption, upon any required repurchase, upon declaration of acceleration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failure by the Company to comply with its obligation to convert the notes in accordance with the Indenture upon exercise of a holder’s conversion right and such failure continues for five business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failure by the Company to give (i) a fundamental change notice or notice of a make-whole fundamental change (each as described in the Indenture), in either case when due and such failure continues for five business days, or (ii) notice of a specified distribution (as described in the Indenture) when due and such failure continues for one business day;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failure by the Company to comply with its obligations in respect of any consolidation, merger or sale of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failure by the Company to comply with any of the Company’s other agreements in the notes or the Indenture for 60 days after receipt of written notice of such failure from the trustee or the holders of at least 25% in principal amount of the notes then outstanding;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default by the Company or any of its significant subsidiaries (as defined in the Indenture) with respect to any mortgage, agreement or other instrument under which there may be outstanding, or by which there may be secured or evidenced, any indebtedness for money borrowed with a principal amount in excess of $10.0 million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30 days after written notice to the Company by the trustee or to the Company and the trustee by holders of at least 25% in aggregate principal amount of the notes then outstanding in accordance with the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certain events of bankruptcy, insolvency or reorganization of the Company or any of the Company’s significant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of certain bankruptcy and insolvency-related events of default with respect to the Company, the principal of, and accrued and unpaid interest on, all of the then outstanding notes shall automatically become due and payable. If an event of default, other than certain bankruptcy and insolvency-related events of default with respect to the Company, occurs and is continuing, the trustee, by written notice to the Company, or the holders of at least 25% in principal amount of the outstanding notes by written notice to the Company and the trustee, may, declare 100% of the principal of, and accrued and unpaid interest on, all the outstanding notes to be due and payable.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Indenture provides that, to the extent the Company so elects, the sole remedy for an event of default relating to the failure by the Company to comply with certain reporting covenants in the Indenture will, for the first 365 days after the occurrence of such an event of default, consist exclusively of the right to receive additional interest on the notes at a rate equal to 0.25% per annum of the principal amount of the notes outstanding for each day that such event of default is continuing during the first 180 days after the occurrence of such an event of default and 0.50% per annum of the principal amount of the notes outstanding from the 181st day to, and including, the 365th day following the occurrence of such event of default, as long as such event of default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“qualified successor entity” (as defined in the Indenture) organized and existing under the laws of the United States of America, any state thereof or the District of Columbia, and such qualified successor entity (if not the Company) expressly assumes by supplemental indenture all of the Company’s obligations under the notes and the Indenture; and (ii) immediately after giving effect to such transaction, no default or event of default has occurred and is continuing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Indenture is attached hereto as Exhibit 4.1 (including the form of the notes attached hereto as Exhibit 4.2) and is incorporated herein by reference (and this description is qualified in its entirety by reference to such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of the notes was 90% of the principal amount of notes. The Company’s net proceeds from the offering were approximately $99.5 million after deducting the initial purchaser’s discounts and commissions and the estimated offering expenses payable by the Company. The Company used approximately $32.7 million of the net proceeds from the offering to fully repay the outstanding principal amount, plus accrued and unpaid interest on, the Loan and Security Agreement that the Company is party to with Avenue Venture Opportunities Fund II, L.P. and Avenue Venture Opportunities Fund, L.P. as lenders and Avenue Capital Management II, L.P. as administrative agent and collateral agent (the “Avenue Loan Agreement”), including payment of the related prepayment fee and expenses, and terminate the Avenue Loan Agreement and all related loan documents. The Company intends to use the remaining net proceeds from the offering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the issuance of the notes and the full repayment and termination of the Avenue Loan Agreement as described in Item 1.01, the Company estimates that it would have had, on an as-adjusted basis, cash, cash equivalents, and restricted cash of $99.0 million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unaudited financial information presented this Item 2.02 is an estimate based on information available to management as of the date of this Current Report on Form 8-K, has not been reviewed or audited by the Company’s independent registered accounting firm, and is subject to change. It is possible that the final results may differ from the preliminary unaudited information provided, including differences due to the completion of the financial closing procedures; changes in facts, circumstances and/or assumptions and/or developments in the interim. The preliminary unaudited financial information does not present all information necessary for a complete understanding of the Company’s results as of March 31, 2026 and should not be viewed as a substitute for full financial statements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shall not be deemed to be “filed” for the purposes of Section 18 of the Exchange Act, or otherwise subject to the liabilities of such section, nor will such information be deemed incorporated by reference in any filing under the Securities Act, or the Exchange Act, except as may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offered and sold the notes to the initial purchaser in reliance on the exemption from registration provided by Section 4(a)(2) of the Securities Act of 1933, as amended (the “Securities Act”), and for resale by the initial purchaser to persons reasonably believed to be qualified institutional buyers pursuant to the exemption from registration provided by Rule 144A under the Securities Act. The Company relied on these exemptions from registration based in part on representations made by the initial purchaser in the purchase agreement dated May 4, 2026 by and among the Company and the initial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shares of common stock issuable upon conversion of the notes, if any, have not been registered under the Securities Act and may not be offered or sold in the United States absent registration or an applicable exemption from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shares of common stock are issued upon conversion of the notes, they will be issued in transactions anticipated to be exempt from registration under the Securities Act by virtue of Section 3(a)(9) thereof because no commission or other remuneration is expected to be paid in connection with conversion of the notes and any resulting issuance of shares of common stock. Initially, a maximum of 62,162,162 shares of common stock may be issued upon conversion of the notes based on the initial maximum conversion rate of 540.5405 shares of common stock per $1,000 principal amount of notes, which is subject to customary anti-dilution adjustment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0"/>
        <w:gridCol w:w="60"/>
        <w:gridCol w:w="8745"/>
      </w:tblGrid>
      <w:tr>
        <w:trPr/>
        <w:tc>
          <w:tcPr>
            <w:tcW w:w="14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vAlign w:val="center"/>
          </w:tcPr>
          <w:p>
            <w:pPr>
              <w:pStyle w:val="TableContents"/>
              <w:bidi w:val="0"/>
              <w:spacing w:before="0" w:after="283"/>
              <w:jc w:val="left"/>
              <w:rPr/>
            </w:pPr>
            <w:r>
              <w:rPr/>
              <w:t> </w:t>
            </w:r>
          </w:p>
        </w:tc>
        <w:tc>
          <w:tcPr>
            <w:tcW w:w="87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400" w:type="dxa"/>
            <w:tcBorders/>
            <w:vAlign w:val="center"/>
          </w:tcPr>
          <w:p>
            <w:pPr>
              <w:pStyle w:val="TableContents"/>
              <w:bidi w:val="0"/>
              <w:spacing w:before="0" w:after="283"/>
              <w:jc w:val="left"/>
              <w:rPr/>
            </w:pPr>
            <w:hyperlink w:anchor="tm2613898d1_ex4-1.htm">
              <w:r>
                <w:rPr>
                  <w:rStyle w:val="InternetLink"/>
                  <w:rFonts w:ascii="Times New Roman;Times;Serif" w:hAnsi="Times New Roman;Times;Serif"/>
                  <w:sz w:val="20"/>
                </w:rPr>
                <w:t>4.1</w:t>
              </w:r>
            </w:hyperlink>
          </w:p>
        </w:tc>
        <w:tc>
          <w:tcPr>
            <w:tcW w:w="60" w:type="dxa"/>
            <w:tcBorders/>
            <w:vAlign w:val="center"/>
          </w:tcPr>
          <w:p>
            <w:pPr>
              <w:pStyle w:val="TableContents"/>
              <w:bidi w:val="0"/>
              <w:spacing w:before="0" w:after="283"/>
              <w:jc w:val="left"/>
              <w:rPr/>
            </w:pPr>
            <w:r>
              <w:rPr/>
              <w:t> </w:t>
            </w:r>
          </w:p>
        </w:tc>
        <w:tc>
          <w:tcPr>
            <w:tcW w:w="8745" w:type="dxa"/>
            <w:tcBorders/>
            <w:vAlign w:val="center"/>
          </w:tcPr>
          <w:p>
            <w:pPr>
              <w:pStyle w:val="TableContents"/>
              <w:bidi w:val="0"/>
              <w:spacing w:before="0" w:after="283"/>
              <w:jc w:val="left"/>
              <w:rPr/>
            </w:pPr>
            <w:hyperlink w:anchor="tm2613898d1_ex4-1.htm">
              <w:r>
                <w:rPr>
                  <w:rStyle w:val="InternetLink"/>
                  <w:rFonts w:ascii="Times New Roman;Times;Serif" w:hAnsi="Times New Roman;Times;Serif"/>
                  <w:sz w:val="20"/>
                </w:rPr>
                <w:t>Indenture, dated as of May 7, 2026, between Ocugen, Inc. and U.S. Bank Trust Company, National Association.</w:t>
              </w:r>
            </w:hyperlink>
          </w:p>
        </w:tc>
      </w:tr>
      <w:tr>
        <w:trPr/>
        <w:tc>
          <w:tcPr>
            <w:tcW w:w="1400" w:type="dxa"/>
            <w:tcBorders/>
            <w:vAlign w:val="center"/>
          </w:tcPr>
          <w:p>
            <w:pPr>
              <w:pStyle w:val="TableContents"/>
              <w:bidi w:val="0"/>
              <w:spacing w:before="0" w:after="283"/>
              <w:jc w:val="left"/>
              <w:rPr/>
            </w:pPr>
            <w:hyperlink w:anchor="tm2613898d1_ex4-1.htm">
              <w:r>
                <w:rPr>
                  <w:rStyle w:val="InternetLink"/>
                  <w:rFonts w:ascii="Times New Roman;Times;Serif" w:hAnsi="Times New Roman;Times;Serif"/>
                  <w:sz w:val="20"/>
                </w:rPr>
                <w:t>4.2</w:t>
              </w:r>
            </w:hyperlink>
          </w:p>
        </w:tc>
        <w:tc>
          <w:tcPr>
            <w:tcW w:w="60" w:type="dxa"/>
            <w:tcBorders/>
            <w:vAlign w:val="center"/>
          </w:tcPr>
          <w:p>
            <w:pPr>
              <w:pStyle w:val="TableContents"/>
              <w:bidi w:val="0"/>
              <w:spacing w:before="0" w:after="283"/>
              <w:jc w:val="left"/>
              <w:rPr/>
            </w:pPr>
            <w:r>
              <w:rPr/>
              <w:t> </w:t>
            </w:r>
          </w:p>
        </w:tc>
        <w:tc>
          <w:tcPr>
            <w:tcW w:w="8745" w:type="dxa"/>
            <w:tcBorders/>
            <w:vAlign w:val="center"/>
          </w:tcPr>
          <w:p>
            <w:pPr>
              <w:pStyle w:val="TableContents"/>
              <w:bidi w:val="0"/>
              <w:spacing w:before="0" w:after="283"/>
              <w:jc w:val="left"/>
              <w:rPr/>
            </w:pPr>
            <w:hyperlink w:anchor="tm2613898d1_ex4-1.htm">
              <w:r>
                <w:rPr>
                  <w:rStyle w:val="InternetLink"/>
                  <w:rFonts w:ascii="Times New Roman;Times;Serif" w:hAnsi="Times New Roman;Times;Serif"/>
                  <w:sz w:val="20"/>
                </w:rPr>
                <w:t>Form of 6.75% Convertible Senior Notes due 2034 (included as Exhibit A to Exhibit 4.1).</w:t>
              </w:r>
            </w:hyperlink>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8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1550"/>
        <w:gridCol w:w="320"/>
        <w:gridCol w:w="4595"/>
      </w:tblGrid>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OCUGEN, INC.</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Shankar Musunuri</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Shankar Musunuri</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Chief Executive Officer, &amp; Co-Founder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13898d1_ex4-1.htm"/>
      <w:bookmarkStart w:id="23" w:name="kstm2613898d1_ex41"/>
      <w:bookmarkEnd w:id="22"/>
      <w:bookmarkEnd w:id="23"/>
      <w:r>
        <w:rPr/>
        <w:t> </w:t>
      </w:r>
      <w:r>
        <w:br w:type="page"/>
      </w:r>
    </w:p>
    <w:p>
      <w:pPr>
        <w:pStyle w:val="TextBody"/>
        <w:bidi w:val="0"/>
        <w:jc w:val="right"/>
        <w:rPr>
          <w:b/>
        </w:rPr>
      </w:pPr>
      <w:r>
        <w:rPr>
          <w:b/>
        </w:rPr>
        <w:t>Exhibit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May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 Convertible Senior Notes due 2034</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8319" w:type="dxa"/>
        <w:jc w:val="left"/>
        <w:tblInd w:w="0" w:type="dxa"/>
        <w:tblLayout w:type="fixed"/>
        <w:tblCellMar>
          <w:top w:w="0" w:type="dxa"/>
          <w:left w:w="0" w:type="dxa"/>
          <w:bottom w:w="0" w:type="dxa"/>
          <w:right w:w="0" w:type="dxa"/>
        </w:tblCellMar>
      </w:tblPr>
      <w:tblGrid>
        <w:gridCol w:w="1111"/>
        <w:gridCol w:w="6963"/>
        <w:gridCol w:w="245"/>
      </w:tblGrid>
      <w:tr>
        <w:trPr/>
        <w:tc>
          <w:tcPr>
            <w:tcW w:w="80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 DEFINITIONS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References to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111" w:type="dxa"/>
            <w:tcBorders/>
            <w:vAlign w:val="center"/>
          </w:tcPr>
          <w:p>
            <w:pPr>
              <w:pStyle w:val="TableContents"/>
              <w:bidi w:val="0"/>
              <w:spacing w:before="0" w:after="283"/>
              <w:jc w:val="left"/>
              <w:rPr/>
            </w:pPr>
            <w:r>
              <w:rPr/>
              <w:t> </w:t>
            </w:r>
          </w:p>
        </w:tc>
        <w:tc>
          <w:tcPr>
            <w:tcW w:w="696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0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2 ISSUE, DESCRIPTION, EXECUTION, REGISTRATION AND EXCHANGE OF NOTES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15</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Designation and Amount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and Denomination of Notes; Payments of Interest and Defaulted Amounts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Authentication and Delivery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and Registration of Transfer of Notes; Restrictions on Transfer; Depositary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Mutilated, Destroyed, Lost or Stolen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 of Notes Paid, Converted,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Numbers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Notes; Repurchases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11" w:type="dxa"/>
            <w:tcBorders/>
            <w:vAlign w:val="center"/>
          </w:tcPr>
          <w:p>
            <w:pPr>
              <w:pStyle w:val="TableContents"/>
              <w:bidi w:val="0"/>
              <w:spacing w:before="0" w:after="283"/>
              <w:jc w:val="left"/>
              <w:rPr/>
            </w:pPr>
            <w:r>
              <w:rPr/>
              <w:t> </w:t>
            </w:r>
          </w:p>
        </w:tc>
        <w:tc>
          <w:tcPr>
            <w:tcW w:w="696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0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3 SATISFACTION AND DISCHARGE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28</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11" w:type="dxa"/>
            <w:tcBorders/>
            <w:vAlign w:val="center"/>
          </w:tcPr>
          <w:p>
            <w:pPr>
              <w:pStyle w:val="TableContents"/>
              <w:bidi w:val="0"/>
              <w:spacing w:before="0" w:after="283"/>
              <w:jc w:val="left"/>
              <w:rPr/>
            </w:pPr>
            <w:r>
              <w:rPr/>
              <w:t> </w:t>
            </w:r>
          </w:p>
        </w:tc>
        <w:tc>
          <w:tcPr>
            <w:tcW w:w="696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0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4 PARTICULAR COVENANTS OF THE COMPANY</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28</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Principal and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Office or Agency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Appointments to Fill Vacancies in Trustee’s Office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Provisions as to Paying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144A Information Requirement and Annual Reports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4.07.</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Stay, Extension and Usury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4.08.</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 Statements as to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4.09.</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Instruments and Acts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of Authorized and Unissued Shares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11" w:type="dxa"/>
            <w:tcBorders/>
            <w:vAlign w:val="center"/>
          </w:tcPr>
          <w:p>
            <w:pPr>
              <w:pStyle w:val="TableContents"/>
              <w:bidi w:val="0"/>
              <w:spacing w:before="0" w:after="283"/>
              <w:jc w:val="left"/>
              <w:rPr/>
            </w:pPr>
            <w:r>
              <w:rPr/>
              <w:t> </w:t>
            </w:r>
          </w:p>
        </w:tc>
        <w:tc>
          <w:tcPr>
            <w:tcW w:w="696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0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5 LISTS OF HOLDERS AND REPORTS BY THE COMPANY AND THE TRUSTEE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34</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Lists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Preservation and Disclosure of Lists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11" w:type="dxa"/>
            <w:tcBorders/>
            <w:vAlign w:val="center"/>
          </w:tcPr>
          <w:p>
            <w:pPr>
              <w:pStyle w:val="TableContents"/>
              <w:bidi w:val="0"/>
              <w:spacing w:before="0" w:after="283"/>
              <w:jc w:val="left"/>
              <w:rPr/>
            </w:pPr>
            <w:r>
              <w:rPr/>
              <w:t> </w:t>
            </w:r>
          </w:p>
        </w:tc>
        <w:tc>
          <w:tcPr>
            <w:tcW w:w="696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0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6 DEFAULTS AND REMEDIES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35</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 Rescission and Annulment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6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770" w:type="dxa"/>
        <w:jc w:val="left"/>
        <w:tblInd w:w="0" w:type="dxa"/>
        <w:tblLayout w:type="fixed"/>
        <w:tblCellMar>
          <w:top w:w="0" w:type="dxa"/>
          <w:left w:w="0" w:type="dxa"/>
          <w:bottom w:w="0" w:type="dxa"/>
          <w:right w:w="0" w:type="dxa"/>
        </w:tblCellMar>
      </w:tblPr>
      <w:tblGrid>
        <w:gridCol w:w="1205"/>
        <w:gridCol w:w="6320"/>
        <w:gridCol w:w="245"/>
      </w:tblGrid>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of Notes on Default; Suit Therefor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Monies Collected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Proceedings by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Proceedings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 Cumulative and Continuing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Direction of Proceedings and Waiver of Defaults by Majority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to Pay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205"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52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7 CONCERNING THE TRUSTEE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44</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and Responsibilities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 on Documents, Opinions,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Responsibility for Recitals,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Paying Agents, Conversion Agents or Note Registrar May Own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Monies and Shares of Common Stock to Be Held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Expenses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Officer’s Certificate as Evidence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or Removal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by Successor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Succession by Merger,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Trustee’s Application for Instructions from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205"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52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8 CONCERNING THE HOLDERS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 by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Proof of Execution by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Who Are Deemed Absolute Owners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Company-Owned Notes Disregarded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Revocation of Consents; Future Holders Bound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52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9 HOLDERS’ MEETINGS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Purpose of Meetings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 of Meetings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 of Meetings by Company or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Qualifications for Voting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9.07.</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Delay of Rights by Meeting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05"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52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10 SUPPLEMENTAL INDENTURES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56</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Without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Compliance of Supplemental Indenture to Be Furnished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90"/>
        <w:gridCol w:w="8769"/>
        <w:gridCol w:w="246"/>
      </w:tblGrid>
      <w:tr>
        <w:trPr/>
        <w:tc>
          <w:tcPr>
            <w:tcW w:w="995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11 CONSOLIDATION, MERGER, SALE, CONVEYANCE AND LEASE</w:t>
            </w:r>
          </w:p>
        </w:tc>
        <w:tc>
          <w:tcPr>
            <w:tcW w:w="246"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Consolidate, Etc. on Certain Terms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Entity to Be Substituted</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90" w:type="dxa"/>
            <w:tcBorders/>
            <w:vAlign w:val="center"/>
          </w:tcPr>
          <w:p>
            <w:pPr>
              <w:pStyle w:val="TableContents"/>
              <w:bidi w:val="0"/>
              <w:spacing w:before="0" w:after="283"/>
              <w:jc w:val="left"/>
              <w:rPr/>
            </w:pPr>
            <w:r>
              <w:rPr/>
              <w:t> </w:t>
            </w:r>
          </w:p>
        </w:tc>
        <w:tc>
          <w:tcPr>
            <w:tcW w:w="876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995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12 IMMUNITY OF INCORPORATORS, STOCKHOLDERS, OFFICERS AND DIRECTORS</w:t>
            </w:r>
          </w:p>
        </w:tc>
        <w:tc>
          <w:tcPr>
            <w:tcW w:w="246"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60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12.01.</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Indenture and Notes Solely Corporate Obligations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90" w:type="dxa"/>
            <w:tcBorders/>
            <w:vAlign w:val="center"/>
          </w:tcPr>
          <w:p>
            <w:pPr>
              <w:pStyle w:val="TableContents"/>
              <w:bidi w:val="0"/>
              <w:spacing w:before="0" w:after="283"/>
              <w:jc w:val="left"/>
              <w:rPr/>
            </w:pPr>
            <w:r>
              <w:rPr/>
              <w:t> </w:t>
            </w:r>
          </w:p>
        </w:tc>
        <w:tc>
          <w:tcPr>
            <w:tcW w:w="876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995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13 [INTENTIONALLY OMITTED]</w:t>
            </w:r>
          </w:p>
        </w:tc>
        <w:tc>
          <w:tcPr>
            <w:tcW w:w="246"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60</w:t>
            </w:r>
          </w:p>
        </w:tc>
      </w:tr>
      <w:tr>
        <w:trPr/>
        <w:tc>
          <w:tcPr>
            <w:tcW w:w="9959" w:type="dxa"/>
            <w:gridSpan w:val="2"/>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995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14 CONVERSION OF NOTES</w:t>
            </w:r>
          </w:p>
        </w:tc>
        <w:tc>
          <w:tcPr>
            <w:tcW w:w="246"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60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14.01.</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Privilege</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14.02.</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Procedure; Settlement Upon Conversion</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14.03.</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 Conversion Rate Applicable to Certain Notes Surrendered in Connection with Make-Whole Fundamental Changes or a Notice of Redemption</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14.04.</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 of Conversion Rate</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14.05.</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of Prices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14.06.</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to Be Fully Paid</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14.07.</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Recapitalizations, Reclassifications and Changes of the Common Stock</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14.08.</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Covenants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14.09.</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Responsibility of Trustee</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14.10.</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[Intentionally Omitted]</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14.11.</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Rights Plans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14.12.</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in Lieu of Conversion</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190" w:type="dxa"/>
            <w:tcBorders/>
            <w:vAlign w:val="center"/>
          </w:tcPr>
          <w:p>
            <w:pPr>
              <w:pStyle w:val="TableContents"/>
              <w:bidi w:val="0"/>
              <w:spacing w:before="0" w:after="283"/>
              <w:jc w:val="left"/>
              <w:rPr/>
            </w:pPr>
            <w:r>
              <w:rPr/>
              <w:t> </w:t>
            </w:r>
          </w:p>
        </w:tc>
        <w:tc>
          <w:tcPr>
            <w:tcW w:w="876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995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15 REPURCHASE OF NOTES AT OPTION OF HOLDERS</w:t>
            </w:r>
          </w:p>
        </w:tc>
        <w:tc>
          <w:tcPr>
            <w:tcW w:w="246"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82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15.01.</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Repurchase at Option of Holders on May 15, 2032</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15.02.</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Repurchase at Option of Holders Upon a Fundamental Change</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15.03.</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Withdrawal of Fundamental Change Repurchase Notice or Specified Repurchase Date Repurchase Notice</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15.04.</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of Fundamental Change Repurchase Price and Specified Repurchase Date Repurchase Price</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15.05.</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to Comply with Applicable Laws Upon Repurchase of Notes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190" w:type="dxa"/>
            <w:tcBorders/>
            <w:vAlign w:val="center"/>
          </w:tcPr>
          <w:p>
            <w:pPr>
              <w:pStyle w:val="TableContents"/>
              <w:bidi w:val="0"/>
              <w:spacing w:before="0" w:after="283"/>
              <w:jc w:val="left"/>
              <w:rPr/>
            </w:pPr>
            <w:r>
              <w:rPr/>
              <w:t> </w:t>
            </w:r>
          </w:p>
        </w:tc>
        <w:tc>
          <w:tcPr>
            <w:tcW w:w="876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995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16 OPTIONAL REDEMPTION</w:t>
            </w:r>
          </w:p>
        </w:tc>
        <w:tc>
          <w:tcPr>
            <w:tcW w:w="246"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89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16.01.</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16.02.</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Optional Redemption; Selection of Notes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16.03.</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Notes Called for Redemption</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16.04.</w:t>
            </w:r>
          </w:p>
        </w:tc>
        <w:tc>
          <w:tcPr>
            <w:tcW w:w="8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Restrictions on Redemption</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645" w:type="dxa"/>
        <w:jc w:val="left"/>
        <w:tblInd w:w="0" w:type="dxa"/>
        <w:tblLayout w:type="fixed"/>
        <w:tblCellMar>
          <w:top w:w="0" w:type="dxa"/>
          <w:left w:w="0" w:type="dxa"/>
          <w:bottom w:w="0" w:type="dxa"/>
          <w:right w:w="0" w:type="dxa"/>
        </w:tblCellMar>
      </w:tblPr>
      <w:tblGrid>
        <w:gridCol w:w="1205"/>
        <w:gridCol w:w="8195"/>
        <w:gridCol w:w="245"/>
      </w:tblGrid>
      <w:tr>
        <w:trPr/>
        <w:tc>
          <w:tcPr>
            <w:tcW w:w="940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17 MISCELLANEOUS PROVISIONS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92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17.01.</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Provisions Binding on Company’s Successors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17.02.</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Official Acts by Successor Entity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17.03.</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Addresses for Notices,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17.04.</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Jurisdiction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17.05.</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Compliance with Conditions Precedent; Certificates and Opinions of Counsel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17.06.</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Holidays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17.07.</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Security Interest Created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17.08.</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Benefits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17.09.</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17.10.</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17.11.</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in 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17.12.</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17.13.</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17.14.</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Force Majeure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17.15.</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Calculations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17.16.</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17.17.</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Signatures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extBody"/>
        <w:bidi w:val="0"/>
        <w:spacing w:before="0" w:after="0"/>
        <w:ind w:left="0" w:right="0" w:hanging="0"/>
        <w:jc w:val="left"/>
        <w:rPr>
          <w:caps w:val="false"/>
          <w:smallCaps w:val="false"/>
        </w:rPr>
      </w:pPr>
      <w:r>
        <w:rPr>
          <w:caps w:val="false"/>
          <w:smallCaps w:val="false"/>
        </w:rPr>
        <w:t> </w:t>
      </w:r>
    </w:p>
    <w:tbl>
      <w:tblPr>
        <w:tblW w:w="2250" w:type="dxa"/>
        <w:jc w:val="left"/>
        <w:tblInd w:w="0" w:type="dxa"/>
        <w:tblLayout w:type="fixed"/>
        <w:tblCellMar>
          <w:top w:w="0" w:type="dxa"/>
          <w:left w:w="0" w:type="dxa"/>
          <w:bottom w:w="0" w:type="dxa"/>
          <w:right w:w="0" w:type="dxa"/>
        </w:tblCellMar>
      </w:tblPr>
      <w:tblGrid>
        <w:gridCol w:w="830"/>
        <w:gridCol w:w="1085"/>
        <w:gridCol w:w="335"/>
      </w:tblGrid>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Note</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May 7, 2026 between OCUGEN, INC., a Delaware corporation, as issuer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more fully set forth in Section 1.01) and U.S. BANK TRUST COMPANY, NATIONAL ASSOCIATION, a national banking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more fully set forth in Section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for its lawful corporate purposes, the Company has duly authorized the issuance of its 6.75% Convertible Senior Notes due 2034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initially in an aggregate principal amount not to exceed $130,000,000, and in order to provide the terms and conditions upon which the Notes are to be authenticated, issued and delivered, the Company has duly authorized the execution and delivery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Form of Note, the certificate of authentication to be borne by each Note, the Form of Notice of Conversion, the Form of Fundamental Change Repurchase Notice, the Form of Specified Repurchase Date Repurchase Notice and the Form of Assignment and Transfer to be borne by the Notes are to be substantially in the forms hereinafter provided;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t>     </w:t>
      </w:r>
      <w:r>
        <w:rPr>
          <w:rFonts w:ascii="Times New Roman;Times;Serif" w:hAnsi="Times New Roman;Times;Serif"/>
          <w:b w:val="false"/>
          <w:i/>
          <w:caps w:val="false"/>
          <w:smallCaps w:val="false"/>
          <w:sz w:val="20"/>
        </w:rPr>
        <w:t xml:space="preserve">Definitions. </w:t>
      </w:r>
      <w:r>
        <w:rPr>
          <w:rFonts w:ascii="Times New Roman;Times;Serif" w:hAnsi="Times New Roman;Times;Serif"/>
          <w:b w:val="false"/>
          <w:i w:val="false"/>
          <w:caps w:val="false"/>
          <w:smallCaps w:val="false"/>
          <w:sz w:val="20"/>
        </w:rPr>
        <w:t>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Interest</w:t>
      </w:r>
      <w:r>
        <w:rPr>
          <w:rFonts w:ascii="Times New Roman;Times;Serif" w:hAnsi="Times New Roman;Times;Serif"/>
          <w:b w:val="false"/>
          <w:i w:val="false"/>
          <w:caps w:val="false"/>
          <w:smallCaps w:val="false"/>
          <w:sz w:val="20"/>
        </w:rPr>
        <w:t>” means all amounts, if any, payable pursuant to Section 4.06(d), Section 4.06(e) and Section 6.03,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shall have the meaning specified in Section 14.03(a).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another Person for purposes of this Indenture shall be made based on the facts at the time such determination is made or required to be made, as the case may be,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Authorized Share Stockholder Approval</w:t>
      </w:r>
      <w:r>
        <w:rPr>
          <w:rFonts w:ascii="Times New Roman;Times;Serif" w:hAnsi="Times New Roman;Times;Serif"/>
          <w:b w:val="false"/>
          <w:i w:val="false"/>
          <w:caps w:val="false"/>
          <w:smallCaps w:val="false"/>
          <w:sz w:val="20"/>
        </w:rPr>
        <w:t>” shall have the meaning specified in Section 4.10.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 committee of such board duly authorized to act for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and to be in full force and effect on the date of such certification,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shall have the meaning specified in Section 11.01.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Note, any day other than a Saturday,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Sunday or a day on which the Federal Reserve Bank of New York is authorized or required by law or executive order to close or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Called Notes</w:t>
      </w:r>
      <w:r>
        <w:rPr>
          <w:rFonts w:ascii="Times New Roman;Times;Serif" w:hAnsi="Times New Roman;Times;Serif"/>
          <w:b w:val="false"/>
          <w:i w:val="false"/>
          <w:caps w:val="false"/>
          <w:smallCaps w:val="false"/>
          <w:sz w:val="20"/>
        </w:rPr>
        <w:t>” means Notes called for Optional Redemption pursuant to Article 16 or subject to a Deemed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Settlement</w:t>
      </w:r>
      <w:r>
        <w:rPr>
          <w:rFonts w:ascii="Times New Roman;Times;Serif" w:hAnsi="Times New Roman;Times;Serif"/>
          <w:b w:val="false"/>
          <w:i w:val="false"/>
          <w:caps w:val="false"/>
          <w:smallCaps w:val="false"/>
          <w:sz w:val="20"/>
        </w:rPr>
        <w:t>” shall have the meaning specified in Section 14.02(a).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A Distribution</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B Distribution</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C Distribution</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Combination Settlement</w:t>
      </w:r>
      <w:r>
        <w:rPr>
          <w:rFonts w:ascii="Times New Roman;Times;Serif" w:hAnsi="Times New Roman;Times;Serif"/>
          <w:b w:val="false"/>
          <w:i w:val="false"/>
          <w:caps w:val="false"/>
          <w:smallCaps w:val="false"/>
          <w:sz w:val="20"/>
        </w:rPr>
        <w:t>” shall have the meaning specified in Section 14.02(a).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Equity</w:t>
      </w:r>
      <w:r>
        <w:rPr>
          <w:rFonts w:ascii="Times New Roman;Times;Serif" w:hAnsi="Times New Roman;Times;Serif"/>
          <w:b w:val="false"/>
          <w:i w:val="false"/>
          <w:caps w:val="false"/>
          <w:smallCaps w:val="false"/>
          <w:sz w:val="20"/>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of the Company, par value $0.01 per share, at the date of this Indenture, subject to Section 14.07.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shall have the meaning specified in the first paragraph of this Indenture, and subject to the provisions of Article 11, shall include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order of the Company signed by any of its Officers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shall have the meaning specified in Section 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shall have the meaning specified in Section 14.12(a).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shall have the meaning specified in Section 14.02(c).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Limit End Date</w:t>
      </w:r>
      <w:r>
        <w:rPr>
          <w:rFonts w:ascii="Times New Roman;Times;Serif" w:hAnsi="Times New Roman;Times;Serif"/>
          <w:b w:val="false"/>
          <w:i w:val="false"/>
          <w:caps w:val="false"/>
          <w:smallCaps w:val="false"/>
          <w:sz w:val="20"/>
        </w:rPr>
        <w:t>” means the earlier of (i) May 15, 2027 and (ii) the Reserved Share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Obligation</w:t>
      </w:r>
      <w:r>
        <w:rPr>
          <w:rFonts w:ascii="Times New Roman;Times;Serif" w:hAnsi="Times New Roman;Times;Serif"/>
          <w:b w:val="false"/>
          <w:i w:val="false"/>
          <w:caps w:val="false"/>
          <w:smallCaps w:val="false"/>
          <w:sz w:val="20"/>
        </w:rPr>
        <w:t>” shall have the meaning specified in Section 14.01(a).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xml:space="preserve">” means as of any time, $1,000,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the Conversion Rate as of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shall have the meaning specified in Section 14.01(a).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designated office of the Trustee at which at any time this Indenture shall be administered, which office at the date hereof is located at U.S. Bank Trust Company, National Association, West Side Flats St Paul – 60 Livingston Ave, Saint Paul, MN 55107, Attention: J. Hahn (Ocugen, Inc. Administrator), or such other address in the contiguous United States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means the Trustee, as custodian for The Depository Trust Company, with respect to the Global Notes, or any successor entity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Conversion Value</w:t>
      </w:r>
      <w:r>
        <w:rPr>
          <w:rFonts w:ascii="Times New Roman;Times;Serif" w:hAnsi="Times New Roman;Times;Serif"/>
          <w:b w:val="false"/>
          <w:i w:val="false"/>
          <w:caps w:val="false"/>
          <w:smallCaps w:val="false"/>
          <w:sz w:val="20"/>
        </w:rPr>
        <w:t>” means, for each of the 40 consecutive Trading Days during the Observation Period, 2.5% of the product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Conversion Rate on such Trading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Daily VWAP for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Measurement Value</w:t>
      </w:r>
      <w:r>
        <w:rPr>
          <w:rFonts w:ascii="Times New Roman;Times;Serif" w:hAnsi="Times New Roman;Times;Serif"/>
          <w:b w:val="false"/>
          <w:i w:val="false"/>
          <w:caps w:val="false"/>
          <w:smallCaps w:val="false"/>
          <w:sz w:val="20"/>
        </w:rPr>
        <w:t xml:space="preserve">” means the Specified Dollar Amount (if any),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Settlement Amount</w:t>
      </w:r>
      <w:r>
        <w:rPr>
          <w:rFonts w:ascii="Times New Roman;Times;Serif" w:hAnsi="Times New Roman;Times;Serif"/>
          <w:b w:val="false"/>
          <w:i w:val="false"/>
          <w:caps w:val="false"/>
          <w:smallCaps w:val="false"/>
          <w:sz w:val="20"/>
        </w:rPr>
        <w:t>,” for each of the 40 consecutive Trading Days during the Observation Period, shall consist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in an amount equal to the lesser of (i) the Daily Measurement Value and (ii) the Daily Conversion Value on such Trading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Daily Conversion Value on such Trading Day exceeds the Daily Measurement Value, a number of shares of Common Stock equal to (i) the difference between the Daily Conversion Value and the Daily Measurement Value,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(ii) the Daily VWAP for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means, for each of the 40 consecutive Trading Days during the relevant Observation Period, the per share volume-weighted average price as displayed under the heading “Bloomberg VWAP” on Bloomberg page “OCGN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shall be determined without regard to after-hours trading or any other trading outside of the regular trading session trading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Deemed Redemption</w:t>
      </w:r>
      <w:r>
        <w:rPr>
          <w:rFonts w:ascii="Times New Roman;Times;Serif" w:hAnsi="Times New Roman;Times;Serif"/>
          <w:b w:val="false"/>
          <w:i w:val="false"/>
          <w:caps w:val="false"/>
          <w:smallCaps w:val="false"/>
          <w:sz w:val="20"/>
        </w:rPr>
        <w:t>” shall have the meaning specified in Section 14.01(c).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Defaulted Amounts</w:t>
      </w:r>
      <w:r>
        <w:rPr>
          <w:rFonts w:ascii="Times New Roman;Times;Serif" w:hAnsi="Times New Roman;Times;Serif"/>
          <w:b w:val="false"/>
          <w:i w:val="false"/>
          <w:caps w:val="false"/>
          <w:smallCaps w:val="false"/>
          <w:sz w:val="20"/>
        </w:rPr>
        <w:t>” means any amounts on any Note (including, without limitation, the Redemption Price, the Fundamental Change Repurchase Price, the Specified Repurchase Date Repurchase Price, principal and interest) that are payable but are not punctually paid or duly provided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Default Settlement Method</w:t>
      </w:r>
      <w:r>
        <w:rPr>
          <w:rFonts w:ascii="Times New Roman;Times;Serif" w:hAnsi="Times New Roman;Times;Serif"/>
          <w:b w:val="false"/>
          <w:i w:val="false"/>
          <w:caps w:val="false"/>
          <w:smallCaps w:val="false"/>
          <w:sz w:val="20"/>
        </w:rPr>
        <w:t xml:space="preserve">” will initially be Cash Settlement;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Reserved Share Effective Date occurs, the “Default Settlement Method” will be Physical Settlement, subject to the last paragraph of Section 14.02(a)(iii).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Designated Financial Institution</w:t>
      </w:r>
      <w:r>
        <w:rPr>
          <w:rFonts w:ascii="Times New Roman;Times;Serif" w:hAnsi="Times New Roman;Times;Serif"/>
          <w:b w:val="false"/>
          <w:i w:val="false"/>
          <w:caps w:val="false"/>
          <w:smallCaps w:val="false"/>
          <w:sz w:val="20"/>
        </w:rPr>
        <w:t>” shall have the meaning specified in Section 14.12(a).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shall have the meaning specified in Section 14.03(c), except that, as used in Section 14.04 and Section 14.05, “</w:t>
      </w:r>
      <w:r>
        <w:rPr>
          <w:rFonts w:ascii="Times New Roman;Times;Serif" w:hAnsi="Times New Roman;Times;Serif"/>
          <w:b/>
          <w:i w:val="false"/>
          <w:caps w:val="false"/>
          <w:smallCaps w:val="false"/>
          <w:sz w:val="20"/>
        </w:rPr>
        <w:t xml:space="preserve">Effective Date” </w:t>
      </w:r>
      <w:r>
        <w:rPr>
          <w:rFonts w:ascii="Times New Roman;Times;Serif" w:hAnsi="Times New Roman;Times;Serif"/>
          <w:b w:val="false"/>
          <w:i w:val="false"/>
          <w:caps w:val="false"/>
          <w:smallCaps w:val="false"/>
          <w:sz w:val="20"/>
        </w:rPr>
        <w:t>means the first date on which shares of the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the Common Stock under a separate ticker symbol or CUSIP number will not be considered “regular way”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have the meaning specified in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the Common Stock under a separate ticker symbol or CUSIP number will not be considered “regular way”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Election</w:t>
      </w:r>
      <w:r>
        <w:rPr>
          <w:rFonts w:ascii="Times New Roman;Times;Serif" w:hAnsi="Times New Roman;Times;Serif"/>
          <w:b w:val="false"/>
          <w:i w:val="false"/>
          <w:caps w:val="false"/>
          <w:smallCaps w:val="false"/>
          <w:sz w:val="20"/>
        </w:rPr>
        <w:t>” shall have the meaning specified in Section 14.12(a).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Exempted Fundamental Change</w:t>
      </w:r>
      <w:r>
        <w:rPr>
          <w:rFonts w:ascii="Times New Roman;Times;Serif" w:hAnsi="Times New Roman;Times;Serif"/>
          <w:b w:val="false"/>
          <w:i w:val="false"/>
          <w:caps w:val="false"/>
          <w:smallCaps w:val="false"/>
          <w:sz w:val="20"/>
        </w:rPr>
        <w:t>” shall have the meaning specified in Section 15.02(f).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Assignment and Transfer</w:t>
      </w:r>
      <w:r>
        <w:rPr>
          <w:rFonts w:ascii="Times New Roman;Times;Serif" w:hAnsi="Times New Roman;Times;Serif"/>
          <w:b w:val="false"/>
          <w:i w:val="false"/>
          <w:caps w:val="false"/>
          <w:smallCaps w:val="false"/>
          <w:sz w:val="20"/>
        </w:rPr>
        <w:t>” means the “Form of Assignment and Transfer” attached as Attachment 4 to the Form of Note attached hereto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Fundamental Change Repurchase Notice</w:t>
      </w:r>
      <w:r>
        <w:rPr>
          <w:rFonts w:ascii="Times New Roman;Times;Serif" w:hAnsi="Times New Roman;Times;Serif"/>
          <w:b w:val="false"/>
          <w:i w:val="false"/>
          <w:caps w:val="false"/>
          <w:smallCaps w:val="false"/>
          <w:sz w:val="20"/>
        </w:rPr>
        <w:t>” means the “Form of Fundamental Change Repurchase Notice” attached as Attachment 2 to the Form of Note attached hereto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Note</w:t>
      </w:r>
      <w:r>
        <w:rPr>
          <w:rFonts w:ascii="Times New Roman;Times;Serif" w:hAnsi="Times New Roman;Times;Serif"/>
          <w:b w:val="false"/>
          <w:i w:val="false"/>
          <w:caps w:val="false"/>
          <w:smallCaps w:val="false"/>
          <w:sz w:val="20"/>
        </w:rPr>
        <w:t>” means the “Form of Note” attached hereto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Notice of Conversion</w:t>
      </w:r>
      <w:r>
        <w:rPr>
          <w:rFonts w:ascii="Times New Roman;Times;Serif" w:hAnsi="Times New Roman;Times;Serif"/>
          <w:b w:val="false"/>
          <w:i w:val="false"/>
          <w:caps w:val="false"/>
          <w:smallCaps w:val="false"/>
          <w:sz w:val="20"/>
        </w:rPr>
        <w:t>” means the “Form of Notice of Conversion” attached as Attachment 1 to the Form of Note attached hereto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Specified Repurchase Date Repurchase Notice</w:t>
      </w:r>
      <w:r>
        <w:rPr>
          <w:rFonts w:ascii="Times New Roman;Times;Serif" w:hAnsi="Times New Roman;Times;Serif"/>
          <w:b w:val="false"/>
          <w:i w:val="false"/>
          <w:caps w:val="false"/>
          <w:smallCaps w:val="false"/>
          <w:sz w:val="20"/>
        </w:rPr>
        <w:t>” means the “Form of Specified Repurchase Date Repurchase Notice” attached as Attachment 3 to the Form of Note attached hereto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w:t>
      </w:r>
      <w:r>
        <w:rPr>
          <w:rFonts w:ascii="Times New Roman;Times;Serif" w:hAnsi="Times New Roman;Times;Serif"/>
          <w:b w:val="false"/>
          <w:i w:val="false"/>
          <w:caps w:val="false"/>
          <w:smallCaps w:val="false"/>
          <w:sz w:val="20"/>
        </w:rPr>
        <w:t>” shall be deemed to have occurred at the time after the Notes are originally issued if any of the following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described in clause (b) below, a “person” or “group” within the meaning of Section 13(d) of the Exchange Act, other than the Company, its direct or indirect Wholly Owned Subsidiaries and the employee benefit plans of the Company and its Wholly Owned Subsidiaries, has become and files a Schedule TO or any schedule, form or report under the Exchange Act disclosing that such person or group has become the direct or indirect “beneficial owner,” as defined in Rule 13d-3 under the Exchange Act, of Common Stock of the Company representing more than 50% of the voting power of the Common Stock of the Company,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(A) any recapitalization, reclassification or change of the Common Stock (other than changes resulting from a subdivision or combination or solely a change in par value)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stockholders of the Company approve any plan or proposal for the liquidation or dissolution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Common Stock (or other common equity underlying the Notes) ceases to be listed or quoted on any of the Nasdaq Global Select Market, the Nasdaq Global Market, the Nasdaq Capital Market or the New York Stock Exchange (or any of their respective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transaction or transactions described in clause (b) above shall not constitute a Fundamental Change, if at least 90% of the consideration received or to be received by the holders of the Company’s Common Stock, excluding cash payments for fractional shares and cash payments made in respect of dissenters’ appraisal rights, in connection with such transaction or transactions consists of shares of common stock (or other common equity) that are listed or quoted on any of the Nasdaq Global Select Market, the Nasdaq Global Market, the Nasdaq Capital Market or the New York Stock Exchange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and cash payments made in respect of dissenters’ appraisal rights (subject to the provisions of Section 14.02(a)). If any transaction in which the Common Stock is replaced by the common stock or other Common Equity of another entity occurs, following completion of any related Make-Whole Fundamental Change Period (or, in the case of a transaction that would have been a Fundamental Change or a Make-Whole Fundamental Change but for the proviso immediately following clause (d) of this definition, following the effective date of such transaction), references to the Company in this definition shall instead be references to such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Company Notice</w:t>
      </w:r>
      <w:r>
        <w:rPr>
          <w:rFonts w:ascii="Times New Roman;Times;Serif" w:hAnsi="Times New Roman;Times;Serif"/>
          <w:b w:val="false"/>
          <w:i w:val="false"/>
          <w:caps w:val="false"/>
          <w:smallCaps w:val="false"/>
          <w:sz w:val="20"/>
        </w:rPr>
        <w:t>” shall have the meaning specified in Section 15.02(c).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shall have the meaning specified in Section 15.02(a).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shall have the meaning specified in Section 15.02(b)(i).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shall have the meaning specified in Section 15.02(a).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w:t>
      </w:r>
      <w:r>
        <w:rPr>
          <w:rFonts w:ascii="Times New Roman;Times;Serif" w:hAnsi="Times New Roman;Times;Serif"/>
          <w:b/>
          <w:i w:val="false"/>
          <w:caps w:val="false"/>
          <w:smallCaps w:val="false"/>
          <w:sz w:val="20"/>
        </w:rPr>
        <w:t>given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mailed</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notify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sent</w:t>
      </w:r>
      <w:r>
        <w:rPr>
          <w:rFonts w:ascii="Times New Roman;Times;Serif" w:hAnsi="Times New Roman;Times;Serif"/>
          <w:b w:val="false"/>
          <w:i w:val="false"/>
          <w:caps w:val="false"/>
          <w:smallCaps w:val="false"/>
          <w:sz w:val="20"/>
        </w:rPr>
        <w:t>”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applicable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shall have the meaning specified in Section 2.05(b).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as applied to any Note, or other similar terms (but excluding the term “beneficial holder”), means any Person in whose name at the time a particular Note is registered on the Note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if amended or supplemented as herein provided, as so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each May 15 and November 15 of each year, beginning on November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Last Original Issue Date</w:t>
      </w:r>
      <w:r>
        <w:rPr>
          <w:rFonts w:ascii="Times New Roman;Times;Serif" w:hAnsi="Times New Roman;Times;Serif"/>
          <w:b w:val="false"/>
          <w:i w:val="false"/>
          <w:caps w:val="false"/>
          <w:smallCaps w:val="false"/>
          <w:sz w:val="20"/>
        </w:rPr>
        <w:t>” means, (A) with respect to the Notes offered pursuant to the Offering Memorandum, and any Notes issued in exchange therefor or in substitution thereof, the later of (i) the date of this Indenture and (ii) the last day any Notes are originally issued as part of the same offering pursuant to the exercise of the option granted to the Initial Purchaser to purchase additional Notes as set forth in the Purchase Agreement; (B) with respect to any additional Notes issued pursuant to the first sentence of Section 2.10,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 of such Notes to purchase additional Notes issued pursuant to the first sentence of Section 2.10; or (ii) such other date as is specified in an Officer’s Certificate delivered to the Trustee before the original issuance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of the Common Stock (or any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the last quoted bid price for the Common Stock (or such other security) in the over-the-counter market on the relevant date as reported by OTC Markets Group Inc. or a similar organization. If the Common Stock (or such other security) is not so quoted,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the average of the mid-point of the last bid and ask prices for the Common Stock (or such other security) on the relevant date from each of at least three nationally recognized independent investment banking firms selected by the Company for this purpose.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determined without regard to after-hours trading or any other trading outside of regular trading session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w:t>
      </w:r>
      <w:r>
        <w:rPr>
          <w:rFonts w:ascii="Times New Roman;Times;Serif" w:hAnsi="Times New Roman;Times;Serif"/>
          <w:b w:val="false"/>
          <w:i w:val="false"/>
          <w:caps w:val="false"/>
          <w:smallCaps w:val="false"/>
          <w:sz w:val="20"/>
        </w:rPr>
        <w:t xml:space="preserve">” means any transaction or event that constitutes a Fundamental Change (as defined above and determined after giving effect to any exceptions to or exclusions from such definition, but without regard to the </w:t>
      </w:r>
      <w:r>
        <w:rPr>
          <w:rFonts w:ascii="Times New Roman;Times;Serif" w:hAnsi="Times New Roman;Times;Serif"/>
          <w:b w:val="false"/>
          <w:i/>
          <w:caps w:val="false"/>
          <w:smallCaps w:val="false"/>
          <w:sz w:val="20"/>
        </w:rPr>
        <w:t xml:space="preserve">proviso </w:t>
      </w:r>
      <w:r>
        <w:rPr>
          <w:rFonts w:ascii="Times New Roman;Times;Serif" w:hAnsi="Times New Roman;Times;Serif"/>
          <w:b w:val="false"/>
          <w:i w:val="false"/>
          <w:caps w:val="false"/>
          <w:smallCaps w:val="false"/>
          <w:sz w:val="20"/>
        </w:rPr>
        <w:t>in clause (b) of the definition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 Period</w:t>
      </w:r>
      <w:r>
        <w:rPr>
          <w:rFonts w:ascii="Times New Roman;Times;Serif" w:hAnsi="Times New Roman;Times;Serif"/>
          <w:b w:val="false"/>
          <w:i w:val="false"/>
          <w:caps w:val="false"/>
          <w:smallCaps w:val="false"/>
          <w:sz w:val="20"/>
        </w:rPr>
        <w:t>” shall have the meaning specified in Section 14.03(a).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May 15,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Maximum Number of Conversion Shares</w:t>
      </w:r>
      <w:r>
        <w:rPr>
          <w:rFonts w:ascii="Times New Roman;Times;Serif" w:hAnsi="Times New Roman;Times;Serif"/>
          <w:b w:val="false"/>
          <w:i w:val="false"/>
          <w:caps w:val="false"/>
          <w:smallCaps w:val="false"/>
          <w:sz w:val="20"/>
        </w:rPr>
        <w:t>” shall have the meaning specified in Section 4.10.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shall have the meaning specified in the first paragraph of the recitals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 Register</w:t>
      </w:r>
      <w:r>
        <w:rPr>
          <w:rFonts w:ascii="Times New Roman;Times;Serif" w:hAnsi="Times New Roman;Times;Serif"/>
          <w:b w:val="false"/>
          <w:i w:val="false"/>
          <w:caps w:val="false"/>
          <w:smallCaps w:val="false"/>
          <w:sz w:val="20"/>
        </w:rPr>
        <w:t>” shall have the meaning specified in Section 2.05(a).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 Registrar</w:t>
      </w:r>
      <w:r>
        <w:rPr>
          <w:rFonts w:ascii="Times New Roman;Times;Serif" w:hAnsi="Times New Roman;Times;Serif"/>
          <w:b w:val="false"/>
          <w:i w:val="false"/>
          <w:caps w:val="false"/>
          <w:smallCaps w:val="false"/>
          <w:sz w:val="20"/>
        </w:rPr>
        <w:t>” shall have the meaning specified in Section 2.05(a).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shall have the meaning specified in Section 14.02(b).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Redemption</w:t>
      </w:r>
      <w:r>
        <w:rPr>
          <w:rFonts w:ascii="Times New Roman;Times;Serif" w:hAnsi="Times New Roman;Times;Serif"/>
          <w:b w:val="false"/>
          <w:i w:val="false"/>
          <w:caps w:val="false"/>
          <w:smallCaps w:val="false"/>
          <w:sz w:val="20"/>
        </w:rPr>
        <w:t>” shall have the meaning specified in Section 16.02(a).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Observation Period</w:t>
      </w:r>
      <w:r>
        <w:rPr>
          <w:rFonts w:ascii="Times New Roman;Times;Serif" w:hAnsi="Times New Roman;Times;Serif"/>
          <w:b w:val="false"/>
          <w:i w:val="false"/>
          <w:caps w:val="false"/>
          <w:smallCaps w:val="false"/>
          <w:sz w:val="20"/>
        </w:rPr>
        <w:t>” with respect to any Note surrendered for conversion means: (i) subject to clause (ii), if the relevant Conversion Date occurs prior to February 15, 2034, the 40 consecutive Trading Day period beginning on, and including, the second Trading Day immediately succeeding such Conversion Date; (ii) with respect to any Called Notes, if the relevant Conversion Date with respect to such Notes occurs during the related Redemption Period, the 40 consecutive Trading Days beginning on, and including, the 41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Scheduled Trading Day immediately preceding such Redemption Date; and (iii) subject to clause (ii), if the relevant Conversion Date occurs on or after February 15, 2034, the 40 consecutive Trading Days beginning on, and including, the 41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Scheduled Trading Day immediately preceding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Offering Memorandum</w:t>
      </w:r>
      <w:r>
        <w:rPr>
          <w:rFonts w:ascii="Times New Roman;Times;Serif" w:hAnsi="Times New Roman;Times;Serif"/>
          <w:b w:val="false"/>
          <w:i w:val="false"/>
          <w:caps w:val="false"/>
          <w:smallCaps w:val="false"/>
          <w:sz w:val="20"/>
        </w:rPr>
        <w:t>” means the preliminary offering memorandum dated May 4, 2026, as supplemented by the related pricing term sheet dated May 4, 2026, relating to the offering and sale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Chief Executive Officer, the President, the Chief Financial Officer, the Chief Operating Officer, the Chief Accounting Officer, the Chief Legal Officer, General Counsel, the Treasurer, the Secretary, any Executive or Senior Vice President or any Vice President (whether or not designated by a number or numbers or word or words added before or after the title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Optional Redemption</w:t>
      </w:r>
      <w:r>
        <w:rPr>
          <w:rFonts w:ascii="Times New Roman;Times;Serif" w:hAnsi="Times New Roman;Times;Serif"/>
          <w:b w:val="false"/>
          <w:i w:val="false"/>
          <w:caps w:val="false"/>
          <w:smallCaps w:val="false"/>
          <w:sz w:val="20"/>
        </w:rPr>
        <w:t>” shall have the meaning specified in Section 16.01.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when used with reference to Notes, shall, subject to the provisions of Section 8.04, mean, as of any particular time, all Notes authenticated and delivered by the Trustee under this Indenture,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Notes theretofore cancelled by the Trustee or accepted by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Notes that have been paid pursuant to the second paragraph of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Notes converted pursuant to Article 14 and required to be cancelled pursuant to Section 2.08;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Notes redeemed pursuant to Article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Partial Redemption Limitation</w:t>
      </w:r>
      <w:r>
        <w:rPr>
          <w:rFonts w:ascii="Times New Roman;Times;Serif" w:hAnsi="Times New Roman;Times;Serif"/>
          <w:b w:val="false"/>
          <w:i w:val="false"/>
          <w:caps w:val="false"/>
          <w:smallCaps w:val="false"/>
          <w:sz w:val="20"/>
        </w:rPr>
        <w:t>” shall have the meaning specified in Section 16.02(d).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shall have the meaning specified in Section 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corporation, a limited liability company, an association, a partnership, a joint venture, a joint stock company, a trust, an unincorporated organization or a government or an agency or a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Physical Notes</w:t>
      </w:r>
      <w:r>
        <w:rPr>
          <w:rFonts w:ascii="Times New Roman;Times;Serif" w:hAnsi="Times New Roman;Times;Serif"/>
          <w:b w:val="false"/>
          <w:i w:val="false"/>
          <w:caps w:val="false"/>
          <w:smallCaps w:val="false"/>
          <w:sz w:val="20"/>
        </w:rPr>
        <w:t>” means permanent certificated Notes in registered form issued in denominations of $1,000 principal amount and integral multiples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Physical Settlement</w:t>
      </w:r>
      <w:r>
        <w:rPr>
          <w:rFonts w:ascii="Times New Roman;Times;Serif" w:hAnsi="Times New Roman;Times;Serif"/>
          <w:b w:val="false"/>
          <w:i w:val="false"/>
          <w:caps w:val="false"/>
          <w:smallCaps w:val="false"/>
          <w:sz w:val="20"/>
        </w:rPr>
        <w:t>” shall have the meaning specified in Section 14.02(a).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Predecessor Note</w:t>
      </w:r>
      <w:r>
        <w:rPr>
          <w:rFonts w:ascii="Times New Roman;Times;Serif" w:hAnsi="Times New Roman;Times;Serif"/>
          <w:b w:val="false"/>
          <w:i w:val="false"/>
          <w:caps w:val="false"/>
          <w:smallCaps w:val="false"/>
          <w:sz w:val="20"/>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means that certain Purchase Agreement, dated May 4, 2026, between the Company and Oppenheimer &amp; Co. Inc., (the “</w:t>
      </w:r>
      <w:r>
        <w:rPr>
          <w:rFonts w:ascii="Times New Roman;Times;Serif" w:hAnsi="Times New Roman;Times;Serif"/>
          <w:b/>
          <w:i w:val="false"/>
          <w:caps w:val="false"/>
          <w:smallCaps w:val="false"/>
          <w:sz w:val="20"/>
        </w:rPr>
        <w:t>Initial Purchaser</w:t>
      </w:r>
      <w:r>
        <w:rPr>
          <w:rFonts w:ascii="Times New Roman;Times;Serif" w:hAnsi="Times New Roman;Times;Serif"/>
          <w:b w:val="false"/>
          <w:i w:val="false"/>
          <w:caps w:val="false"/>
          <w:smallCaps w:val="false"/>
          <w:sz w:val="20"/>
        </w:rPr>
        <w:t>”), relating to the offering and sale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Qualified Successor Entity</w:t>
      </w:r>
      <w:r>
        <w:rPr>
          <w:rFonts w:ascii="Times New Roman;Times;Serif" w:hAnsi="Times New Roman;Times;Serif"/>
          <w:b w:val="false"/>
          <w:i w:val="false"/>
          <w:caps w:val="false"/>
          <w:smallCaps w:val="false"/>
          <w:sz w:val="20"/>
        </w:rPr>
        <w:t>” means, with respect to a Business Combination Event, a corporation; provided, however, that (i) if such Business Combination Event is an Exempted Fundamental Change, then a limited liability company, limited partnership or other similar entity will also constitute a Qualified Successor Entity with respect to such Business Combination Event; and (ii) a limited liability company or limited partnership that is the resulting, surviving or transferee person of such Business Combination Event will also constitute a Qualified Successor Entity with respect to such Business Combination Event, provided that, in the case of this clause (ii), (1) if such limited liability company or limited partnership is not treated as a corporation or an entity disregarded as separate from a corporation, in each case for U.S. federal income tax purposes, (x) the Company has received an opinion of a nationally recognized tax counsel to the effect that such Business Combination Event will not be treated as an exchange under Section 1001 of the U.S. Internal Revenue Code of 1986, as amended for Holders or beneficial owners of the Notes and (y) such limited liability company or limited partnership is a direct or indirect, Wholly Owned Subsidiary of a corporation duly organized and existing under the laws of the United States of America, any State thereof or the District of Columbia; (2) such Business Combination Event constitutes a Share Exchange Event whose Reference Property consists solely of any combination of cash in U.S. dollars and shares of common stock or other corporate Common Equity interests of a corporation described in clause (1)(y); and (3) if such limited liability company or limited partnership is disregarded as separate from its owner for U.S. federal income tax purposes, its regarded owner for those purposes is an entity described in clause (1)(y).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shall have the meaning specified in Section 16.02(a).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Period</w:t>
      </w:r>
      <w:r>
        <w:rPr>
          <w:rFonts w:ascii="Times New Roman;Times;Serif" w:hAnsi="Times New Roman;Times;Serif"/>
          <w:b w:val="false"/>
          <w:i w:val="false"/>
          <w:caps w:val="false"/>
          <w:smallCaps w:val="false"/>
          <w:sz w:val="20"/>
        </w:rPr>
        <w:t>” means, with respect to any Optional Redemption, the period from, and including, the relevant date on which the Company delivers a Notice of Redemption for such Optional Redemption until the close of business on the Scheduled Trading Day immediately preceding the related Redemption Date (or, if the Company defaults in the payment of the Redemption Price, until the close of business on the Scheduled Trading Day immediately preceding the date on which the Redemption Price has been paid or duly provided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xml:space="preserve">” means, for any Notes to be redeemed pursuant to Section 16.01, 100% of the principal amount of such Notes,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accrued and unpaid interest, if any, to, but excluding, the Redemption Date (unless the Redemption Date falls after a Regular Record Date but on or prior to the immediately succeeding Interest Payment Date, in which case interest accrued to the Interest Payment Date will be paid by the Company to Holders of record of such Notes as of the close of business on such Regular Record Date on, or at the Company’s election, before, such Interest Payment Date and the Redemption Price will be equal to 100% of the principal amount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shall have the meaning specified in Section 14.07(a).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with respect to any Interest Payment Date, means the May 1 or November 1 (whether or not such day is a Business Day) immediately preceding the applicable May 15 or November 15 Interest Payment Date,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Reporting Event of Default</w:t>
      </w:r>
      <w:r>
        <w:rPr>
          <w:rFonts w:ascii="Times New Roman;Times;Serif" w:hAnsi="Times New Roman;Times;Serif"/>
          <w:b w:val="false"/>
          <w:i w:val="false"/>
          <w:caps w:val="false"/>
          <w:smallCaps w:val="false"/>
          <w:sz w:val="20"/>
        </w:rPr>
        <w:t>” shall have the meaning specified in Section 6.03.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Restrictive Notes Legend</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shall have the meaning specified in Section 4.10.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Reserved Share Effective Date</w:t>
      </w:r>
      <w:r>
        <w:rPr>
          <w:rFonts w:ascii="Times New Roman;Times;Serif" w:hAnsi="Times New Roman;Times;Serif"/>
          <w:b w:val="false"/>
          <w:i w:val="false"/>
          <w:caps w:val="false"/>
          <w:smallCaps w:val="false"/>
          <w:sz w:val="20"/>
        </w:rPr>
        <w:t>” shall have the meaning specified in Section 4.10.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as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means Rule 144A as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has the meaning specified in Section 14.02(a)(iv).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Method</w:t>
      </w:r>
      <w:r>
        <w:rPr>
          <w:rFonts w:ascii="Times New Roman;Times;Serif" w:hAnsi="Times New Roman;Times;Serif"/>
          <w:b w:val="false"/>
          <w:i w:val="false"/>
          <w:caps w:val="false"/>
          <w:smallCaps w:val="false"/>
          <w:sz w:val="20"/>
        </w:rPr>
        <w:t>” means, with respect to any conversion of Notes, Physical Settlement, Cash Settlement or Combination Settlement, as elected (or deemed to have been 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Notice</w:t>
      </w:r>
      <w:r>
        <w:rPr>
          <w:rFonts w:ascii="Times New Roman;Times;Serif" w:hAnsi="Times New Roman;Times;Serif"/>
          <w:b w:val="false"/>
          <w:i w:val="false"/>
          <w:caps w:val="false"/>
          <w:smallCaps w:val="false"/>
          <w:sz w:val="20"/>
        </w:rPr>
        <w:t>” has the meaning specified in Section 14.02(a)(iii).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Share Exchange Event</w:t>
      </w:r>
      <w:r>
        <w:rPr>
          <w:rFonts w:ascii="Times New Roman;Times;Serif" w:hAnsi="Times New Roman;Times;Serif"/>
          <w:b w:val="false"/>
          <w:i w:val="false"/>
          <w:caps w:val="false"/>
          <w:smallCaps w:val="false"/>
          <w:sz w:val="20"/>
        </w:rPr>
        <w:t>” shall have the meaning specified in Section 14.07(a).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xml:space="preserve">” means a Subsidiary of the Company that is a “significant subsidiary” as defined in Article 1, Rule 1-02(w) of Regulation S-X promulgated by the Commission (or any successor rule);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and to the extent paragraph (w)(1)(iii)(A)(2) does not apply to the determination of whether the income test in paragraph (w)(1)(iii) is met, in the case of a Subsidiary that meets the criteria of clause (1)(iii) of the definition thereof but not clause (1)(i) or (1)(ii) thereof, in each case as such rule is in effect on the date of the Offering Memorandum, such Subsidiary shall be deemed not to be a Significant Subsidiary unless the Subsidiary’s income from continuing operations before income taxes, exclusive of amounts attributable to any non-controlling interests and after intercompany eliminations, for the last completed fiscal year prior to the date of such determination exceeds $10,000,000. For the avoidance of doubt, to the extent any such Subsidiary would not be deemed to be a “significant subsidiary” under the relevant definition set forth in Article 1, Rule 1-02(w) of Regulation S-X (or any successor rule) as in effect on the relevant date of determination, such Subsidiary shall not be deemed to be a Significant Subsidiary under this Indenture irrespective of whether such Subsidiary would otherwise be deemed to be a “Significant Subsidiary” after giving effect to the proviso in the immediately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Dollar Amount</w:t>
      </w:r>
      <w:r>
        <w:rPr>
          <w:rFonts w:ascii="Times New Roman;Times;Serif" w:hAnsi="Times New Roman;Times;Serif"/>
          <w:b w:val="false"/>
          <w:i w:val="false"/>
          <w:caps w:val="false"/>
          <w:smallCaps w:val="false"/>
          <w:sz w:val="20"/>
        </w:rPr>
        <w:t>” means the maximum cash amount per $1,000 principal amount of Notes to be received upon conversion as specified in the Settlement Notice (or deemed specified as provided in Section 14.02(a)(iii)) related to any converted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Repurchase</w:t>
      </w:r>
      <w:r>
        <w:rPr>
          <w:rFonts w:ascii="Times New Roman;Times;Serif" w:hAnsi="Times New Roman;Times;Serif"/>
          <w:b w:val="false"/>
          <w:i w:val="false"/>
          <w:caps w:val="false"/>
          <w:smallCaps w:val="false"/>
          <w:sz w:val="20"/>
        </w:rPr>
        <w:t>” shall have the meaning specified in Section 15.01(a).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Repurchase Date</w:t>
      </w:r>
      <w:r>
        <w:rPr>
          <w:rFonts w:ascii="Times New Roman;Times;Serif" w:hAnsi="Times New Roman;Times;Serif"/>
          <w:b w:val="false"/>
          <w:i w:val="false"/>
          <w:caps w:val="false"/>
          <w:smallCaps w:val="false"/>
          <w:sz w:val="20"/>
        </w:rPr>
        <w:t>” shall have the meaning specified in Section 15.01(a).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Repurchase Date Repurchase Notice</w:t>
      </w:r>
      <w:r>
        <w:rPr>
          <w:rFonts w:ascii="Times New Roman;Times;Serif" w:hAnsi="Times New Roman;Times;Serif"/>
          <w:b w:val="false"/>
          <w:i w:val="false"/>
          <w:caps w:val="false"/>
          <w:smallCaps w:val="false"/>
          <w:sz w:val="20"/>
        </w:rPr>
        <w:t>” shall have the meaning specified in Section 15.01(b).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Repurchase Date Repurchase Price</w:t>
      </w:r>
      <w:r>
        <w:rPr>
          <w:rFonts w:ascii="Times New Roman;Times;Serif" w:hAnsi="Times New Roman;Times;Serif"/>
          <w:b w:val="false"/>
          <w:i w:val="false"/>
          <w:caps w:val="false"/>
          <w:smallCaps w:val="false"/>
          <w:sz w:val="20"/>
        </w:rPr>
        <w:t>” shall have the meaning specified in Section 15.01(a).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Stock Price</w:t>
      </w:r>
      <w:r>
        <w:rPr>
          <w:rFonts w:ascii="Times New Roman;Times;Serif" w:hAnsi="Times New Roman;Times;Serif"/>
          <w:b w:val="false"/>
          <w:i w:val="false"/>
          <w:caps w:val="false"/>
          <w:smallCaps w:val="false"/>
          <w:sz w:val="20"/>
        </w:rPr>
        <w:t>” shall have the meaning specified in Section 14.03(c).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Successor Entity” </w:t>
      </w:r>
      <w:r>
        <w:rPr>
          <w:rFonts w:ascii="Times New Roman;Times;Serif" w:hAnsi="Times New Roman;Times;Serif"/>
          <w:b w:val="false"/>
          <w:i w:val="false"/>
          <w:caps w:val="false"/>
          <w:smallCaps w:val="false"/>
          <w:sz w:val="20"/>
        </w:rPr>
        <w:t>shall have the meaning specified in Section 11.01(a).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Trading Day” </w:t>
      </w:r>
      <w:r>
        <w:rPr>
          <w:rFonts w:ascii="Times New Roman;Times;Serif" w:hAnsi="Times New Roman;Times;Serif"/>
          <w:b w:val="false"/>
          <w:i w:val="false"/>
          <w:caps w:val="false"/>
          <w:smallCaps w:val="false"/>
          <w:sz w:val="20"/>
        </w:rPr>
        <w:t xml:space="preserve">means, except for determining amounts due upon conversion, a day on which (i) trading in the Common Stock (or other security for which a closing sale price must be determined) generally occurs on the Nasdaq Capital Market or, if the Common Stock (or such other security) is not then listed on the Nasdaq Capital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Common Stock (or such other security) is not so listed or traded, “</w:t>
      </w:r>
      <w:r>
        <w:rPr>
          <w:rFonts w:ascii="Times New Roman;Times;Serif" w:hAnsi="Times New Roman;Times;Serif"/>
          <w:b/>
          <w:i w:val="false"/>
          <w:caps w:val="false"/>
          <w:smallCaps w:val="false"/>
          <w:sz w:val="20"/>
        </w:rPr>
        <w:t xml:space="preserve">Trading Day” </w:t>
      </w:r>
      <w:r>
        <w:rPr>
          <w:rFonts w:ascii="Times New Roman;Times;Serif" w:hAnsi="Times New Roman;Times;Serif"/>
          <w:b w:val="false"/>
          <w:i w:val="false"/>
          <w:caps w:val="false"/>
          <w:smallCaps w:val="false"/>
          <w:sz w:val="20"/>
        </w:rPr>
        <w:t xml:space="preserve">means a Business Day;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for purposes of determining amounts due upon conversion only, “</w:t>
      </w:r>
      <w:r>
        <w:rPr>
          <w:rFonts w:ascii="Times New Roman;Times;Serif" w:hAnsi="Times New Roman;Times;Serif"/>
          <w:b/>
          <w:i w:val="false"/>
          <w:caps w:val="false"/>
          <w:smallCaps w:val="false"/>
          <w:sz w:val="20"/>
        </w:rPr>
        <w:t xml:space="preserve">Trading Day” </w:t>
      </w:r>
      <w:r>
        <w:rPr>
          <w:rFonts w:ascii="Times New Roman;Times;Serif" w:hAnsi="Times New Roman;Times;Serif"/>
          <w:b w:val="false"/>
          <w:i w:val="false"/>
          <w:caps w:val="false"/>
          <w:smallCaps w:val="false"/>
          <w:sz w:val="20"/>
        </w:rPr>
        <w:t>means a day on which (x) there is no Market Disruption Event and (y) trading in the Common Stock generally occurs on the Nasdaq Capital Market or, if the Common Stock is not then listed on the Nasdaq Capital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Times;Serif" w:hAnsi="Times New Roman;Times;Serif"/>
          <w:b/>
          <w:i w:val="false"/>
          <w:caps w:val="false"/>
          <w:smallCaps w:val="false"/>
          <w:sz w:val="20"/>
        </w:rPr>
        <w:t xml:space="preserve">Trading Day” </w:t>
      </w:r>
      <w:r>
        <w:rPr>
          <w:rFonts w:ascii="Times New Roman;Times;Serif" w:hAnsi="Times New Roman;Times;Serif"/>
          <w:b w:val="false"/>
          <w:i w:val="false"/>
          <w:caps w:val="false"/>
          <w:smallCaps w:val="false"/>
          <w:sz w:val="20"/>
        </w:rPr>
        <w:t>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transfer” </w:t>
      </w:r>
      <w:r>
        <w:rPr>
          <w:rFonts w:ascii="Times New Roman;Times;Serif" w:hAnsi="Times New Roman;Times;Serif"/>
          <w:b w:val="false"/>
          <w:i w:val="false"/>
          <w:caps w:val="false"/>
          <w:smallCaps w:val="false"/>
          <w:sz w:val="20"/>
        </w:rPr>
        <w:t>shall have the meaning specified in Section 2.05(c).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Trigger Event” </w:t>
      </w:r>
      <w:r>
        <w:rPr>
          <w:rFonts w:ascii="Times New Roman;Times;Serif" w:hAnsi="Times New Roman;Times;Serif"/>
          <w:b w:val="false"/>
          <w:i w:val="false"/>
          <w:caps w:val="false"/>
          <w:smallCaps w:val="false"/>
          <w:sz w:val="20"/>
        </w:rPr>
        <w:t>shall have the meaning specified in Section 14.04(c).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Trust Indenture Act” </w:t>
      </w:r>
      <w:r>
        <w:rPr>
          <w:rFonts w:ascii="Times New Roman;Times;Serif" w:hAnsi="Times New Roman;Times;Serif"/>
          <w:b w:val="false"/>
          <w:i w:val="false"/>
          <w:caps w:val="false"/>
          <w:smallCaps w:val="false"/>
          <w:sz w:val="20"/>
        </w:rPr>
        <w:t xml:space="preserve">means the Trust Indenture Act of 1939, as amended, as it was in force at the date of execution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the Trust Indenture Act of 1939 is amended after the date hereof, the term “Trust Indenture Act” shall mean, to the extent required by such amendment, the Trust Indenture Act of 1939,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Trustee” </w:t>
      </w:r>
      <w:r>
        <w:rPr>
          <w:rFonts w:ascii="Times New Roman;Times;Serif" w:hAnsi="Times New Roman;Times;Serif"/>
          <w:b w:val="false"/>
          <w:i w:val="false"/>
          <w:caps w:val="false"/>
          <w:smallCaps w:val="false"/>
          <w:sz w:val="20"/>
        </w:rPr>
        <w:t>means the Person named as the “</w:t>
      </w:r>
      <w:r>
        <w:rPr>
          <w:rFonts w:ascii="Times New Roman;Times;Serif" w:hAnsi="Times New Roman;Times;Serif"/>
          <w:b/>
          <w:i w:val="false"/>
          <w:caps w:val="false"/>
          <w:smallCaps w:val="false"/>
          <w:sz w:val="20"/>
        </w:rPr>
        <w:t xml:space="preserve">Trustee” </w:t>
      </w:r>
      <w:r>
        <w:rPr>
          <w:rFonts w:ascii="Times New Roman;Times;Serif" w:hAnsi="Times New Roman;Times;Serif"/>
          <w:b w:val="false"/>
          <w:i w:val="false"/>
          <w:caps w:val="false"/>
          <w:smallCaps w:val="false"/>
          <w:sz w:val="20"/>
        </w:rPr>
        <w:t>in the first paragraph of this Indenture until a successor trustee shall have become such pursuant to the applicable provisions of this Indenture, and thereafter “</w:t>
      </w:r>
      <w:r>
        <w:rPr>
          <w:rFonts w:ascii="Times New Roman;Times;Serif" w:hAnsi="Times New Roman;Times;Serif"/>
          <w:b/>
          <w:i w:val="false"/>
          <w:caps w:val="false"/>
          <w:smallCaps w:val="false"/>
          <w:sz w:val="20"/>
        </w:rPr>
        <w:t xml:space="preserve">Trustee” </w:t>
      </w:r>
      <w:r>
        <w:rPr>
          <w:rFonts w:ascii="Times New Roman;Times;Serif" w:hAnsi="Times New Roman;Times;Serif"/>
          <w:b w:val="false"/>
          <w:i w:val="false"/>
          <w:caps w:val="false"/>
          <w:smallCaps w:val="false"/>
          <w:sz w:val="20"/>
        </w:rPr>
        <w:t>shall mean or include each Person who is then a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unit of Reference Property” </w:t>
      </w:r>
      <w:r>
        <w:rPr>
          <w:rFonts w:ascii="Times New Roman;Times;Serif" w:hAnsi="Times New Roman;Times;Serif"/>
          <w:b w:val="false"/>
          <w:i w:val="false"/>
          <w:caps w:val="false"/>
          <w:smallCaps w:val="false"/>
          <w:sz w:val="20"/>
        </w:rPr>
        <w:t>shall have the meaning specified in Section 14.07(a).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Valuation Period” </w:t>
      </w:r>
      <w:r>
        <w:rPr>
          <w:rFonts w:ascii="Times New Roman;Times;Serif" w:hAnsi="Times New Roman;Times;Serif"/>
          <w:b w:val="false"/>
          <w:i w:val="false"/>
          <w:caps w:val="false"/>
          <w:smallCaps w:val="false"/>
          <w:sz w:val="20"/>
        </w:rPr>
        <w:t>shall have the meaning specified in Section 14.04(c).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Wholly Owned Subsidiary” </w:t>
      </w:r>
      <w:r>
        <w:rPr>
          <w:rFonts w:ascii="Times New Roman;Times;Serif" w:hAnsi="Times New Roman;Times;Serif"/>
          <w:b w:val="false"/>
          <w:i w:val="false"/>
          <w:caps w:val="false"/>
          <w:smallCaps w:val="false"/>
          <w:sz w:val="20"/>
        </w:rPr>
        <w:t>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t>     </w:t>
      </w:r>
      <w:r>
        <w:rPr>
          <w:rFonts w:ascii="Times New Roman;Times;Serif" w:hAnsi="Times New Roman;Times;Serif"/>
          <w:b w:val="false"/>
          <w:i/>
          <w:caps w:val="false"/>
          <w:smallCaps w:val="false"/>
          <w:sz w:val="20"/>
        </w:rPr>
        <w:t xml:space="preserve">References to Interest. </w:t>
      </w:r>
      <w:r>
        <w:rPr>
          <w:rFonts w:ascii="Times New Roman;Times;Serif" w:hAnsi="Times New Roman;Times;Serif"/>
          <w:b w:val="false"/>
          <w:i w:val="false"/>
          <w:caps w:val="false"/>
          <w:smallCaps w:val="false"/>
          <w:sz w:val="20"/>
        </w:rPr>
        <w:t>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hereof shall not be construed as excluding Additional Interest in those provisions 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2</w:t>
        <w:br/>
        <w:t>ISSUE, DESCRIPTION, EXECUTION, REGISTRATION AND EXCHANGE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t>     </w:t>
      </w:r>
      <w:r>
        <w:rPr>
          <w:rFonts w:ascii="Times New Roman;Times;Serif" w:hAnsi="Times New Roman;Times;Serif"/>
          <w:b w:val="false"/>
          <w:i/>
          <w:caps w:val="false"/>
          <w:smallCaps w:val="false"/>
          <w:sz w:val="20"/>
        </w:rPr>
        <w:t xml:space="preserve">Designation and Amount. </w:t>
      </w:r>
      <w:r>
        <w:rPr>
          <w:rFonts w:ascii="Times New Roman;Times;Serif" w:hAnsi="Times New Roman;Times;Serif"/>
          <w:b w:val="false"/>
          <w:i w:val="false"/>
          <w:caps w:val="false"/>
          <w:smallCaps w:val="false"/>
          <w:sz w:val="20"/>
        </w:rPr>
        <w:t>The Notes shall be designated as the “6.75% Convertible Senior Notes due 2034.” The aggregate principal amount of Notes that may be authenticated and delivered under this Indenture is initially limited to $130,000,000, subject to Section 2.10 and except for Notes authenticated and delivered upon registration or transfer of, or in exchange for, or in lieu of other Notes to the extent expressly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t>     </w:t>
      </w:r>
      <w:r>
        <w:rPr>
          <w:rFonts w:ascii="Times New Roman;Times;Serif" w:hAnsi="Times New Roman;Times;Serif"/>
          <w:b w:val="false"/>
          <w:i/>
          <w:caps w:val="false"/>
          <w:smallCaps w:val="false"/>
          <w:sz w:val="20"/>
        </w:rPr>
        <w:t xml:space="preserve">Form of Notes. </w:t>
      </w:r>
      <w:r>
        <w:rPr>
          <w:rFonts w:ascii="Times New Roman;Times;Serif" w:hAnsi="Times New Roman;Times;Serif"/>
          <w:b w:val="false"/>
          <w:i w:val="false"/>
          <w:caps w:val="false"/>
          <w:smallCaps w:val="false"/>
          <w:sz w:val="20"/>
        </w:rPr>
        <w:t>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the Fundamental Change Repurchase Price and the Specified Repurchase Date Repurchase Price, if applicable) of, and accrued and unpaid interest on, a Global Note shall be made to the Holder of such Note on the date of payment, unless a record date or other means of determining Holders eligible to receive payment is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t>     </w:t>
      </w:r>
      <w:r>
        <w:rPr>
          <w:rFonts w:ascii="Times New Roman;Times;Serif" w:hAnsi="Times New Roman;Times;Serif"/>
          <w:b w:val="false"/>
          <w:i/>
          <w:caps w:val="false"/>
          <w:smallCaps w:val="false"/>
          <w:sz w:val="20"/>
        </w:rPr>
        <w:t>Date and Denomination of Notes; Payments of Interest and Defaulted Amounts. (a)</w:t>
      </w:r>
      <w:r>
        <w:rPr>
          <w:rFonts w:ascii="Times New Roman;Times;Serif" w:hAnsi="Times New Roman;Times;Serif"/>
          <w:b w:val="false"/>
          <w:i w:val="false"/>
          <w:caps w:val="false"/>
          <w:smallCaps w:val="false"/>
          <w:sz w:val="20"/>
        </w:rPr>
        <w:t> The Notes shall be issuable in registered form without coupons in minimum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within the contiguous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such Holder or, upon written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at its address as it appears in the Note Registrar (or, in the case of Global Notes, in compliance with the applicable procedures of the Depositary)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tab/>
        <w:t>     </w:t>
      </w:r>
      <w:r>
        <w:rPr>
          <w:rFonts w:ascii="Times New Roman;Times;Serif" w:hAnsi="Times New Roman;Times;Serif"/>
          <w:b w:val="false"/>
          <w:i/>
          <w:caps w:val="false"/>
          <w:smallCaps w:val="false"/>
          <w:sz w:val="20"/>
        </w:rPr>
        <w:t xml:space="preserve">Execution, Authentication and Delivery of Notes. </w:t>
      </w:r>
      <w:r>
        <w:rPr>
          <w:rFonts w:ascii="Times New Roman;Times;Serif" w:hAnsi="Times New Roman;Times;Serif"/>
          <w:b w:val="false"/>
          <w:i w:val="false"/>
          <w:caps w:val="false"/>
          <w:smallCaps w:val="false"/>
          <w:sz w:val="20"/>
        </w:rPr>
        <w:t>The Notes shall be signed in the name and on behalf of the Company by the manual, facsimile or other electronic signature of its Chief Executive Officer, President, Chief Financial Officer, Chief Accounting Officer, Treasurer, General Counsel, Secretary or any of its Executive or Senior Vice Presidents.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provided that, subject to Section 17.05, the Trustee shall be entitled to receive an Officer’s Certificate and an Opinion of Counsel of the Company with respect to the issuance, authentication and delivery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tab/>
        <w:t>     </w:t>
      </w:r>
      <w:r>
        <w:rPr>
          <w:rFonts w:ascii="Times New Roman;Times;Serif" w:hAnsi="Times New Roman;Times;Serif"/>
          <w:b w:val="false"/>
          <w:i/>
          <w:caps w:val="false"/>
          <w:smallCaps w:val="false"/>
          <w:sz w:val="20"/>
        </w:rPr>
        <w:t>Exchange and Registration of Transfer of Notes; Restrictions on Transfer; Depositary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cause to be kept at the Corporate Trust Office a register (the register maintained in such office or in any other office or agency of the Company designated pursuant to Section 4.02, the “</w:t>
      </w:r>
      <w:r>
        <w:rPr>
          <w:rFonts w:ascii="Times New Roman;Times;Serif" w:hAnsi="Times New Roman;Times;Serif"/>
          <w:b/>
          <w:i w:val="false"/>
          <w:caps w:val="false"/>
          <w:smallCaps w:val="false"/>
          <w:sz w:val="20"/>
        </w:rPr>
        <w:t>Note Register”</w:t>
      </w:r>
      <w:r>
        <w:rPr>
          <w:rFonts w:ascii="Times New Roman;Times;Serif" w:hAnsi="Times New Roman;Times;Serif"/>
          <w:b w:val="false"/>
          <w:i w:val="false"/>
          <w:caps w:val="false"/>
          <w:smallCaps w:val="false"/>
          <w:sz w:val="20"/>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Times;Serif" w:hAnsi="Times New Roman;Times;Serif"/>
          <w:b/>
          <w:i w:val="false"/>
          <w:caps w:val="false"/>
          <w:smallCaps w:val="false"/>
          <w:sz w:val="20"/>
        </w:rPr>
        <w:t xml:space="preserve">Note Registrar” </w:t>
      </w:r>
      <w:r>
        <w:rPr>
          <w:rFonts w:ascii="Times New Roman;Times;Serif" w:hAnsi="Times New Roman;Times;Serif"/>
          <w:b w:val="false"/>
          <w:i w:val="false"/>
          <w:caps w:val="false"/>
          <w:smallCaps w:val="false"/>
          <w:sz w:val="20"/>
        </w:rPr>
        <w:t>for the purpose of registering Notes and transfers of Notes as herein provided. The Company may appoint one or more co-Note Registrars in accordance with Section 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Note to the Note Registrar or any co-Note Registrar, and satisfaction of the requirements for such transfer set forth in this Section 2.05,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imposed by the Company, the Trustee, the Note Registrar, any co-Note Registrar or the Paying Agent for any exchange or registration of transfer of Notes, but the Company or the Trustee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 (ii) any Notes, or a portion of any Note, surrendered for required repurchase upon a Fundamental Change (and not withdrawn) or on the Specified Repurchase Date (and not withdrawn) in accordance with Article 15 or (iii) any Notes selected for Optional Redemption in accordance with Article 16, except the unredeemed portion of any Note being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applicable procedures of the Depositary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Every Note that bears or is required under this Section 2.05(c) to bear the Restrictive Notes Legend (together with any Common Stock issued upon conversion of the Notes that is required to bear the legend set forth in Section 2.05(d), collectively, the “</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shall be subject to the restrictions on transfer set forth in this Section 2.05(c) (including the Restrictive Notes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encompasses any sale, pledge, transfer or other disposition whatsoever of any Restricted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date (the “</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that is the later of (1) the date that is one year after the Last Original Issue Date, or such shorter period of time as permitted by Rule 144 or any successor provision thereto, and (2) such later date, if any, as may be required by applicable law, any certificate evidencing some or all of the Notes (and all securities issued in exchange therefor or substitution thereof, other than Common Stock, if any, issued upon conversion thereof, which shall bear the legend set forth in Section 2.05(d), if applicable) shall bear a legend in substantially the following form (the “</w:t>
      </w:r>
      <w:r>
        <w:rPr>
          <w:rFonts w:ascii="Times New Roman;Times;Serif" w:hAnsi="Times New Roman;Times;Serif"/>
          <w:b/>
          <w:i w:val="false"/>
          <w:caps w:val="false"/>
          <w:smallCaps w:val="false"/>
          <w:sz w:val="20"/>
        </w:rPr>
        <w:t>Restrictive Notes Legend</w:t>
      </w:r>
      <w:r>
        <w:rPr>
          <w:rFonts w:ascii="Times New Roman;Times;Serif" w:hAnsi="Times New Roman;Times;Serif"/>
          <w:b w:val="false"/>
          <w:i w:val="false"/>
          <w:caps w:val="false"/>
          <w:smallCaps w:val="false"/>
          <w:sz w:val="20"/>
        </w:rPr>
        <w:t>”)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AND THE SHARES OF COMMON STOCK, IF ANY, ISSUABLE UPON CONVERSION OF THIS SECURITY HAVE NOT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“QUALIFIED INSTITUTIONAL BUYER” (WITHIN THE MEANING OF RULE 144A UNDER THE SECURITIES ACT) AND THAT IT EXERCISES SOLE INVESTMENT DISCRETION WITH RESPECT TO EACH SUCH 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OCUGEN,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THAT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 of any Note required to bear the legend above will be registered by the Note Registrar unless the applicable box on the Form of Assignment and Transfer has been checked.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Restrictive Notes Legend set forth above and affixed on any Note will be deemed, in accordance with the terms of the certificate representing such Note, to be removed therefrom upon the Company’ s delivery to the Trustee of written notice to such effect, without further action by the Company, the Trustee, the Holder(s) thereof or any other Person; at such time, such Note will be deemed to be assigned an unrestricted CUSIP number as provided in the certificate representing such Note, it being understood that the Depositary of any Global Note may require a mandatory exchange or other process to cause such Global Note to be identified by an unrestricted CUSIP number in the facilities of such Depositary; provided, however,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 (ii) for purposes of Section 4.06, such Global Note will not be deemed to be identified by unrestricted CUSIP and ISIN numbers until such time as such exchange or procedure is effected. The Company and the Trustee reserve the right to require the delivery of such legal opinions, certifications or other evidence as may reasonably be required in order to determine that any proposed transfer of any Note is being made in compliance with the Securities Act and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 The Company shall promptly notify the Trustee in writing upon the occurrence of the Resale Restriction Termination Date and promptly after a registration statement, if any, with respect to the Notes or any Common Stock issued upon conversion of the Notes has been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in writing. Upon execution and authentication, the Trustee shall deliver such Physical Notes to the Persons in whose names such Physical Notes are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as all interests in a Global Note have been converted, cancelled, repurchased upon a Fundamental Change or on the Specified Repurchase Date, redeemed or transferred, such Global Note shall be, upon receipt thereof, cancelled by the Trustee in accordance with standing procedures and existing instructions between the Depositary and the Custodian. At any time prior to such cancellation, if any interest in a Global Note is exchanged for Physical Notes, converted, cancelled, repurchased upon a Fundamental Change or on the Specified Repurchase Date,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Trustee or any agent of the Company or the Trustee (including in its capacity as Paying Agent and Conversion Agent) shall have any responsibility or liability for any act or omission of the Depositary or for the payment of amounts to owners of beneficial interests in a Global Note, for any aspect of the records relating to or payments made on account of those interests by the Depositary, or for maintaining, supervising or reviewing any records of the Depositary relating to those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Until the Resale Restriction Termination Date, 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“QUALIFIED INSTITUTIONAL BUYER” (WITHIN THE MEANING OF RULE 144A UNDER THE SECURITIES ACT) AND THAT IT EXERCISES SOLE INVESTMENT DISCRETION WITH RESPECT TO EACH SUCH 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OCUGEN,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THAT IT WILL NOT OFFER, SELL, PLEDGE OR OTHERWISE TRANSFER THIS SECURITY OR ANY BENEFICIAL INTEREST HEREIN PRIOR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DATE THAT IS THE LATER OF (X) ONE YEAR AFTER THE LAST ORIGINAL ISSUE DATE OF THE NOTES UPON THE CONVERSION OF WHICH THIS SECURITY WAS ISSUED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THAT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(2)(D) ABOVE, THE COMPANY AND THE TRANSFER AGENT FOR THE COMPANY’S COMMON STOCK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Note issued with original issue discount for U.S. federal income tax purposes shall bear the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WAS ISSUED WITH “ORIGINAL ISSUE DISCOUNT” (“</w:t>
      </w:r>
      <w:r>
        <w:rPr>
          <w:rFonts w:ascii="Times New Roman;Times;Serif" w:hAnsi="Times New Roman;Times;Serif"/>
          <w:b/>
          <w:i w:val="false"/>
          <w:caps w:val="false"/>
          <w:smallCaps w:val="false"/>
          <w:sz w:val="20"/>
        </w:rPr>
        <w:t>OID</w:t>
      </w:r>
      <w:r>
        <w:rPr>
          <w:rFonts w:ascii="Times New Roman;Times;Serif" w:hAnsi="Times New Roman;Times;Serif"/>
          <w:b w:val="false"/>
          <w:i w:val="false"/>
          <w:caps w:val="false"/>
          <w:smallCaps w:val="false"/>
          <w:sz w:val="20"/>
        </w:rPr>
        <w:t xml:space="preserve">”) WITHIN THE MEANING OF SECTION 1273 OF THE INTERNAL REVENUE CODE OF 1986, AS AMENDED. HOLDERS MAY OBTAIN INFORMATION REGARDING THE AMOUNT OF OID, THE ISSUE PRICE, THE ISSUE DATE, AND THE YIELD TO MATURITY </w:t>
      </w:r>
      <w:r>
        <w:rPr>
          <w:rFonts w:ascii="Times New Roman;Times;Serif" w:hAnsi="Times New Roman;Times;Serif"/>
          <w:b w:val="false"/>
          <w:i w:val="false"/>
          <w:caps/>
          <w:sz w:val="20"/>
        </w:rPr>
        <w:t>RELATING TO THIS NOTE BY CONTACTING THE COMPANY, AT 11 Great Valley Parkway, Malvern, PA 19355 (Attn: Shankar Musunuri).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Note or restricted Common Stock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tab/>
        <w:t>     </w:t>
      </w:r>
      <w:r>
        <w:rPr>
          <w:rFonts w:ascii="Times New Roman;Times;Serif" w:hAnsi="Times New Roman;Times;Serif"/>
          <w:b w:val="false"/>
          <w:i/>
          <w:caps w:val="false"/>
          <w:smallCaps w:val="false"/>
          <w:sz w:val="20"/>
        </w:rPr>
        <w:t xml:space="preserve">Mutilated, Destroyed, Lost or Stolen Notes. </w:t>
      </w:r>
      <w:r>
        <w:rPr>
          <w:rFonts w:ascii="Times New Roman;Times;Serif" w:hAnsi="Times New Roman;Times;Serif"/>
          <w:b w:val="false"/>
          <w:i w:val="false"/>
          <w:caps w:val="false"/>
          <w:smallCaps w:val="false"/>
          <w:sz w:val="20"/>
        </w:rPr>
        <w:t>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upon a Fundamental Change or on the Specified Repurchase Date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tab/>
        <w:t>     </w:t>
      </w:r>
      <w:r>
        <w:rPr>
          <w:rFonts w:ascii="Times New Roman;Times;Serif" w:hAnsi="Times New Roman;Times;Serif"/>
          <w:b w:val="false"/>
          <w:i/>
          <w:caps w:val="false"/>
          <w:smallCaps w:val="false"/>
          <w:sz w:val="20"/>
        </w:rPr>
        <w:t xml:space="preserve">Temporary Notes. </w:t>
      </w:r>
      <w:r>
        <w:rPr>
          <w:rFonts w:ascii="Times New Roman;Times;Serif" w:hAnsi="Times New Roman;Times;Serif"/>
          <w:b w:val="false"/>
          <w:i w:val="false"/>
          <w:caps w:val="false"/>
          <w:smallCaps w:val="false"/>
          <w:sz w:val="20"/>
        </w:rPr>
        <w:t>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upon receipt of a Company Order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tab/>
        <w:t>     </w:t>
      </w:r>
      <w:r>
        <w:rPr>
          <w:rFonts w:ascii="Times New Roman;Times;Serif" w:hAnsi="Times New Roman;Times;Serif"/>
          <w:b w:val="false"/>
          <w:i/>
          <w:caps w:val="false"/>
          <w:smallCaps w:val="false"/>
          <w:sz w:val="20"/>
        </w:rPr>
        <w:t>Cancellation of Notes Paid, Converted, Etc</w:t>
      </w:r>
      <w:r>
        <w:rPr>
          <w:rFonts w:ascii="Times New Roman;Times;Serif" w:hAnsi="Times New Roman;Times;Serif"/>
          <w:b w:val="false"/>
          <w:i w:val="false"/>
          <w:caps w:val="false"/>
          <w:smallCaps w:val="false"/>
          <w:sz w:val="20"/>
        </w:rPr>
        <w:t>. The Company shall cause all Notes surrendered for the purpose of payment at maturity, repurchase upon a Fundamental Change or on the Specified Repurchase Date, Optional Redemption, registration of transfer or exchange or conversion, as the case may be (other than any Notes exchanged pursuant to Section 14.12), if surrendered to the Company or any of its agents or Subsidiaries, to be surrendered to the Trustee for cancellation. All Notes delivered to the Trustee shall be cancelled promptly by it in accordance with its customary procedures upon the written request of the Company.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cancelled Notes in accordance with its customary procedures and, after such disposition, shall deliver evidence of such disposition to the Company, at the Company’s written request in a Company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tab/>
        <w:t>     </w:t>
      </w:r>
      <w:r>
        <w:rPr>
          <w:rFonts w:ascii="Times New Roman;Times;Serif" w:hAnsi="Times New Roman;Times;Serif"/>
          <w:b w:val="false"/>
          <w:i/>
          <w:caps w:val="false"/>
          <w:smallCaps w:val="false"/>
          <w:sz w:val="20"/>
        </w:rPr>
        <w:t xml:space="preserve">CUSIP Numbers. </w:t>
      </w:r>
      <w:r>
        <w:rPr>
          <w:rFonts w:ascii="Times New Roman;Times;Serif" w:hAnsi="Times New Roman;Times;Serif"/>
          <w:b w:val="false"/>
          <w:i w:val="false"/>
          <w:caps w:val="false"/>
          <w:smallCaps w:val="false"/>
          <w:sz w:val="20"/>
        </w:rPr>
        <w:t xml:space="preserve">The Company in issuing the Notes may use “CUSIP” numbers (if then generally in use), and, if so, the Trustee shall use “CUSIP” numbers in all notices issued to Holders as a convenience to such Holders;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Trustee shall have no liability for any defect in the “CUSIP” numbers as they appear on any Note, notice or elsewhere,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tab/>
        <w:t>     </w:t>
      </w:r>
      <w:r>
        <w:rPr>
          <w:rFonts w:ascii="Times New Roman;Times;Serif" w:hAnsi="Times New Roman;Times;Serif"/>
          <w:b w:val="false"/>
          <w:i/>
          <w:caps w:val="false"/>
          <w:smallCaps w:val="false"/>
          <w:sz w:val="20"/>
        </w:rPr>
        <w:t xml:space="preserve">Additional Notes; Repurchases. </w:t>
      </w:r>
      <w:r>
        <w:rPr>
          <w:rFonts w:ascii="Times New Roman;Times;Serif" w:hAnsi="Times New Roman;Times;Serif"/>
          <w:b w:val="false"/>
          <w:i w:val="false"/>
          <w:caps w:val="false"/>
          <w:smallCaps w:val="false"/>
          <w:sz w:val="20"/>
        </w:rPr>
        <w:t xml:space="preserve">The Company may, without the consent of, or notice to, the Holders and notwithstanding Section 2.01, reopen this Indenture and issue additional Notes hereunder with the same terms as the Notes initially issued hereunder (other than differences in the issue date, the issue price, interest accrued prior to the issue date of such additional Notes and, if applicable, restrictions on transfer in respect of such additional Notes) in an unlimited aggregate principal amount;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of the Notes. The Company may, at its option and to the extent permitted by applicable law, reissue, resell or surrender to the Trustee for cancellation any Notes that it may repurchase, in the case of a reissuance or resale, so long as such Notes do not constitute “restricted securities” (as defined under Rule 144) upon such reissuance or resale;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any such reissued or resold Notes are not fungible with the Notes initially issued hereunder for U.S. federal income tax or securities law purposes, such reissued or resold Notes shall have one or more separate CUSIP numbers. Any Notes that the Company may repurchase shall be considered outstanding for all purposes under this Indenture (other than, at any time when such Notes are owned by the Company, by any Subsidiary thereof or by any Affiliate of the Company or any Subsidiary thereof, as set forth in Section 8.04) unless and until such time as the Company surrenders them to the Trustee for cancellation and, upon receipt of a Company Order, the Trustee shall cancel all Notes so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3</w:t>
        <w:b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t>     </w:t>
      </w:r>
      <w:r>
        <w:rPr>
          <w:rFonts w:ascii="Times New Roman;Times;Serif" w:hAnsi="Times New Roman;Times;Serif"/>
          <w:b w:val="false"/>
          <w:i/>
          <w:caps w:val="false"/>
          <w:smallCaps w:val="false"/>
          <w:sz w:val="20"/>
        </w:rPr>
        <w:t xml:space="preserve">Satisfaction and Discharge. </w:t>
      </w:r>
      <w:r>
        <w:rPr>
          <w:rFonts w:ascii="Times New Roman;Times;Serif" w:hAnsi="Times New Roman;Times;Serif"/>
          <w:b w:val="false"/>
          <w:i w:val="false"/>
          <w:caps w:val="false"/>
          <w:smallCaps w:val="false"/>
          <w:sz w:val="20"/>
        </w:rPr>
        <w:t>(a) This Indenture and the Notes shall cease to be of further effect when (i) all Notes theretofore authenticated and delivered (other than (x)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the Notes have become due and payable, whether on the Maturity Date, any Redemption Date, any Fundamental Change Repurchase Date, the Specified Repurchase Date, upon conversion or otherwise, cash, shares of Common Stock or a combination thereof, as applicable, solely to satisfy the Company’s Conversion Obligation, sufficient to pay all of the outstanding Notes and all other sums due and payable under this Indenture or the Notes by the Company; and (b) the Trustee upon request of the Company contained in an Officer’s Certificate and at the expense of the Company, shall execute such instruments requested by the Company acknowledging satisfaction and discharge of this Indenture and the Notes, when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or the earlier resignation or removal of the Trustee, the obligations of the Company to the Trustee under Section 7.06 shall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4</w:t>
        <w:br/>
        <w:t>PARTICULAR COVENANTS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t>     </w:t>
      </w:r>
      <w:r>
        <w:rPr>
          <w:rFonts w:ascii="Times New Roman;Times;Serif" w:hAnsi="Times New Roman;Times;Serif"/>
          <w:b w:val="false"/>
          <w:i/>
          <w:caps w:val="false"/>
          <w:smallCaps w:val="false"/>
          <w:sz w:val="20"/>
        </w:rPr>
        <w:t xml:space="preserve">Payment of Principal and Interest. </w:t>
      </w:r>
      <w:r>
        <w:rPr>
          <w:rFonts w:ascii="Times New Roman;Times;Serif" w:hAnsi="Times New Roman;Times;Serif"/>
          <w:b w:val="false"/>
          <w:i w:val="false"/>
          <w:caps w:val="false"/>
          <w:smallCaps w:val="false"/>
          <w:sz w:val="20"/>
        </w:rPr>
        <w:t>The Company covenants and agrees that it will cause to be paid the principal (including the Redemption Price, the Fundamental Change Repurchase Price and the Specified Repurchase Date Repurchase Price, if applicable) of, and accrued and unpaid interest on, each of the Notes at the places, at the respective times and in the manner provided herein and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withholding taxes (including backup withholding) may be set off against interest and payments upon conversion, repurchase or maturity of the Notes, or if any withholding taxes (including backup withholding) are paid on behalf of a Holder or beneficial owner, those withholding taxes may be set off against payments of cash or Common Stock, if any, payable on the Notes (or, in some circumstances, any payments on the Common Stock) or sales proceeds received by, or other funds or assets of, the Holder or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tab/>
        <w:t>     </w:t>
      </w:r>
      <w:r>
        <w:rPr>
          <w:rFonts w:ascii="Times New Roman;Times;Serif" w:hAnsi="Times New Roman;Times;Serif"/>
          <w:b w:val="false"/>
          <w:i/>
          <w:caps w:val="false"/>
          <w:smallCaps w:val="false"/>
          <w:sz w:val="20"/>
        </w:rPr>
        <w:t xml:space="preserve">Maintenance of Office or Agency. </w:t>
      </w:r>
      <w:r>
        <w:rPr>
          <w:rFonts w:ascii="Times New Roman;Times;Serif" w:hAnsi="Times New Roman;Times;Serif"/>
          <w:b w:val="false"/>
          <w:i w:val="false"/>
          <w:caps w:val="false"/>
          <w:smallCaps w:val="false"/>
          <w:sz w:val="20"/>
        </w:rPr>
        <w:t>The Company will maintain within the contiguous United States of America, an office or agency where the Notes may be surrendered for registration of transfer or exchange or for presentation for payment or repurchase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or for conversion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within the contiguous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designation or rescission shall in any manner relieve the Company of its obligation to maintain an office or agency within the contiguous United States of America, for such purposes. The Company will give prompt written notice to the Trustee of any such designation or rescission and of any change in the location of any such other office or agency. The terms “</w:t>
      </w:r>
      <w:r>
        <w:rPr>
          <w:rFonts w:ascii="Times New Roman;Times;Serif" w:hAnsi="Times New Roman;Times;Serif"/>
          <w:b/>
          <w:i w:val="false"/>
          <w:caps w:val="false"/>
          <w:smallCaps w:val="false"/>
          <w:sz w:val="20"/>
        </w:rPr>
        <w:t xml:space="preserve">Paying Agent” </w:t>
      </w: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 xml:space="preserve">Conversion Agent” </w:t>
      </w:r>
      <w:r>
        <w:rPr>
          <w:rFonts w:ascii="Times New Roman;Times;Serif" w:hAnsi="Times New Roman;Times;Serif"/>
          <w:b w:val="false"/>
          <w:i w:val="false"/>
          <w:caps w:val="false"/>
          <w:smallCaps w:val="false"/>
          <w:sz w:val="20"/>
        </w:rPr>
        <w:t>include any such additional or other offices or agencies,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initially designates the Trustee as the Paying Agent, Note Registrar, Custodian and Conversion Agent and the Corporate Trust Office as the office or agency within the contiguous United States of America, where Notes may be surrendered for registration of transfer or exchange or for presentation for payment or repurchase or for conversion and where notices and demands to or upon the Company in respect of the Notes and this Indenture may be served; provided that the Corporate Trust Office shall not be a place for service of legal process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tab/>
        <w:t>     </w:t>
      </w:r>
      <w:r>
        <w:rPr>
          <w:rFonts w:ascii="Times New Roman;Times;Serif" w:hAnsi="Times New Roman;Times;Serif"/>
          <w:b w:val="false"/>
          <w:i/>
          <w:caps w:val="false"/>
          <w:smallCaps w:val="false"/>
          <w:sz w:val="20"/>
        </w:rPr>
        <w:t xml:space="preserve">Appointments to Fill Vacancies in Trustee’s Office. </w:t>
      </w:r>
      <w:r>
        <w:rPr>
          <w:rFonts w:ascii="Times New Roman;Times;Serif" w:hAnsi="Times New Roman;Times;Serif"/>
          <w:b w:val="false"/>
          <w:i w:val="false"/>
          <w:caps w:val="false"/>
          <w:smallCaps w:val="false"/>
          <w:sz w:val="20"/>
        </w:rPr>
        <w:t>The Company, whenever necessary to avoid or fill a vacancy in the office of Trustee, will appoint, in the manner provided in Section 7.09, a Trustee, so that there shall at all times be a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tab/>
        <w:t>     </w:t>
      </w:r>
      <w:r>
        <w:rPr>
          <w:rFonts w:ascii="Times New Roman;Times;Serif" w:hAnsi="Times New Roman;Times;Serif"/>
          <w:b w:val="false"/>
          <w:i/>
          <w:caps w:val="false"/>
          <w:smallCaps w:val="false"/>
          <w:sz w:val="20"/>
        </w:rPr>
        <w:t xml:space="preserve">Provisions as to Paying Agent. </w:t>
      </w:r>
      <w:r>
        <w:rPr>
          <w:rFonts w:ascii="Times New Roman;Times;Serif" w:hAnsi="Times New Roman;Times;Serif"/>
          <w:b w:val="false"/>
          <w:i w:val="false"/>
          <w:caps w:val="false"/>
          <w:smallCaps w:val="false"/>
          <w:sz w:val="20"/>
        </w:rPr>
        <w:t>(a) If the Company shall appoint a Paying Agent other than the Trustee, the Company will cause such Paying Agent to execute and deliver to the Trustee an instrument in which such agent shall agree with the Trustee, subject to the provisions of this Section 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it will hold all sums held by it as such agent for the payment of the principal (including the Redemption Price, the Fundamental Change Repurchase Price and the Specified Repurchase Date Repurchase Price, if applicable) of, and accrued and unpaid interest on, the Notes in trust for the benefit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it will give the Trustee prompt written notice of any failure by the Company to make any payment of the principal (including the Redemption Price, the Fundamental Change Repurchase Price and the Specified Repurchase Date Repurchase Price, if applicable) of, and accrued and unpaid interest on, the Notes when the same shall be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at any time during the continuance of an Event of Default, upon request of the Trustee, it will forthwith pay to the Trustee all sums so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Company shall, on or before each due date of the principal (including the Redemption Price, the Fundamental Change Repurchase Price and the Specified Repurchase Date Repurchase Price, if applicable) of, or accrued and unpaid interest on, the Notes, deposit with the Paying Agent a sum sufficient to pay such principal (including the Redemption Price, the Fundamental Change Repurchase Price and the Specified Repurchase Date Repurchase Price, if applicable) or accrued and unpaid interest, and (unless such Paying Agent is the Trustee) the Company will promptly notify the Trustee in writing of any failure to take such action;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such deposit is made on the due date, such deposit must be received by the Paying Agent by 11:00 a.m., New York City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act as its own Paying Agent, it will, on or before each due date of the principal (including the Redemption Price, the Fundamental Change Repurchase Price and the Specified Repurchase Date Repurchase Price, if applicable) of, and accrued and unpaid interest on, the Notes, set aside, segregate and hold in trust for the benefit of the Holders of the Notes a sum sufficient to pay such principal (including the Redemption Price, the Fundamental Change Repurchase Price and the Specified Repurchase Date Repurchase Price, if applicable) and accrued and unpaid interest so becoming due and will promptly notify the Trustee in writing of any failure to take such action and of any failure by the Company to make any payment of the principal (including the Redemption Price, the Fundamental Change Repurchase Price and the Specified Repurchase Date Repurchase Price, if applicable) of, or accrued and unpaid interest on, the Notes when the same shall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applicable escheatment laws, any money and shares of Common Stock deposited with the Trustee or any Paying Agent, or then held by the Company, in trust for the payment of the principal (including the Redemption Price, the Fundamental Change Repurchase Price and the Specified Repurchase Date Repurchase Price, if applicable) of, accrued and unpaid interest on and the consideration due upon conversion of any Note and remaining unclaimed for two years after such principal (including the Redemption Price, the Fundamental Change Repurchase Price and the Specified Repurchase Date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any Event of Default pursuant to Section 6.01(h) or Section 6.01(i), the Trustee shall automatically become the Paying Agent if the Trustee is not the Paying Agent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tab/>
        <w:t>     </w:t>
      </w:r>
      <w:r>
        <w:rPr>
          <w:rFonts w:ascii="Times New Roman;Times;Serif" w:hAnsi="Times New Roman;Times;Serif"/>
          <w:b w:val="false"/>
          <w:i/>
          <w:caps w:val="false"/>
          <w:smallCaps w:val="false"/>
          <w:sz w:val="20"/>
        </w:rPr>
        <w:t xml:space="preserve">Existence. </w:t>
      </w:r>
      <w:r>
        <w:rPr>
          <w:rFonts w:ascii="Times New Roman;Times;Serif" w:hAnsi="Times New Roman;Times;Serif"/>
          <w:b w:val="false"/>
          <w:i w:val="false"/>
          <w:caps w:val="false"/>
          <w:smallCaps w:val="false"/>
          <w:sz w:val="20"/>
        </w:rPr>
        <w:t>Subject to Article 11, the Company shall do or cause to be done all things necessary to preserve and keep in full force and effect its corporate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tab/>
        <w:t>     </w:t>
      </w:r>
      <w:r>
        <w:rPr>
          <w:rFonts w:ascii="Times New Roman;Times;Serif" w:hAnsi="Times New Roman;Times;Serif"/>
          <w:b w:val="false"/>
          <w:i/>
          <w:caps w:val="false"/>
          <w:smallCaps w:val="false"/>
          <w:sz w:val="20"/>
        </w:rPr>
        <w:t>Rule 144A Information Requirement and Annual Reports. (a)</w:t>
      </w:r>
      <w:r>
        <w:rPr>
          <w:rFonts w:ascii="Times New Roman;Times;Serif" w:hAnsi="Times New Roman;Times;Serif"/>
          <w:b w:val="false"/>
          <w:i w:val="false"/>
          <w:caps w:val="false"/>
          <w:smallCaps w:val="false"/>
          <w:sz w:val="20"/>
        </w:rPr>
        <w:t>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confidential treatment and any correspondence with the Commission, and after giving effect to any grace period provided by Rule 12b-25 under the Exchange Act (or any successor thereto), which grace period, for the avoidance of doubt, shall be deemed applicable whether or not the Company checks the box in the relevant Rule 12b-25 filing indicating that it expects to file such report within the applicable Rule 12b-25 grace period). Any such document or report that the Company files with the Commission via the Commission’s EDGAR system (or any successor system) shall be deemed to be filed with the Trustee for purposes of this Section 4.06(b) at the time such documents are filed via the EDGAR system (or such successor), it being understood that the Trustee shall not be responsible for determining whether such filings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Delivery of the reports, information and documents described in subsection (b) above to the Trustee is for informational purposes only, and the information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any time during the six-month period beginning on, and including, the date that is six months after the Last Original Issue Date, the Company fails to timely file any document or report that it is required to file with the Commission pursuant to Section 13 or 15(d) of the Exchange Act, as applicable (other than reports on Form 8-K and after giving effect to all applicable grace periods under the Exchange Act, including any grace periods provided by Rule 12b-25 (or any successor rule), which grace period for the avoidance of doubt, shall be deemed applicable whether or not the Company checks the box in the relevant Rule 12b-25 filing indicating it expects to file such report within the applicable Rule 12b-25 grace period),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Additional Interest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Additional Interest shall accrue on the Notes at the rate of (i) 0.25% per annum of the principal amount of the Notes outstanding for each of the first 90 days and (ii) 0.50% per annum of the principal amount of the Notes outstanding for each day from, and including, the 91st day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Notes” shall not include, for the avoidance of doubt, the assignment of a restricted CUSIP number, the existence of the Restrictive Notes Legend on Notes in compliance with Section 2.05(c) during the six-month period described in this Section 4.06(d).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and for so long as, the Restrictive Notes Legend on the Notes specified in Section 2.05(c) has not been removed, the Notes are assigned a restricted CUSIP number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of the 385th day after the Last Original Issue Date, the Company shall pay Additional Interest on the Notes at a rate equal to 0.50% per annum of the principal amount of Notes outstanding until the Restrictive Notes Legend on the Notes has been removed in accordance with Section 2.05(c), the Notes are assigned an unrestricted CUSIP number and the Notes are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provided, however, that no such Additional Interest shall accrue or be owed until the fifth Business Day following written notification to the Company by any Holder or beneficial owner of the Notes (with a copy to the Trustee) requesting that the Company comply with its obligations described in this paragraph (which notice may be given at any time after the 330th day after the Last Original Issue Date), it being understood and agreed that in no event shall such Additional Interest accrue or be owed for any period prior to the 385th day after the Last Original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Additional Interest will be payable in arrears on each Interest Payment Date following accrual in the same manner as regular interest on the Notes; provided that if Additional Interest begins to accrue on any Global Note on or after the close of business on a Regular Record Date and prior to the open of business on the corresponding Interest Payment Date, the Additional Interest that accrues during such period will be due on the Interest Payment Date next succeeding such corresponding Interest Payment Date, and no interest shall accrue in respect of such delay.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the immediately succeeding sentence, the Additional Interest that is payable in accordance with Section 4.06(d) or Section 4.06(e) shall be in addition to, and not in lieu of, any Additional Interest that may be payable as a result of the Company’s election as the sole remedy for a Reporting Event of Default. However, in no event shall Additional Interest accrue for the Company’s failure to comply with its obligations to timely file any document or report that the Company is required to file with the Commission pursuant to Section 13 or 15(d) of the Exchange Act, as applicable (after giving effect to all applicable grace periods thereunder and other than reports on Form 8-K), as set forth in Section 4.06(d), together with any Additional Interest that may accrue at the Company’s election as the sole remedy for a Reporting Event of Default, at a rate in excess of 0.50% per annum pursuant to this Indenture, regardless of the number of events or circumstances giving rise to the requirement to pay such Additional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Additional Interest is payable by the Company pursuant to Section 4.06(d) or Section 4.06(e),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conclusively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accrual of Additional Interest to the extent provided in Section 4.06(d) or Section 4.06(e) will be the exclusive remedy available to Holders for failure of their Notes to become “freely tradable” as such term is used in Section 4.06(d) and 4.06(e).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tab/>
        <w:t>     </w:t>
      </w:r>
      <w:r>
        <w:rPr>
          <w:rFonts w:ascii="Times New Roman;Times;Serif" w:hAnsi="Times New Roman;Times;Serif"/>
          <w:b w:val="false"/>
          <w:i/>
          <w:caps w:val="false"/>
          <w:smallCaps w:val="false"/>
          <w:sz w:val="20"/>
        </w:rPr>
        <w:t xml:space="preserve">Stay, Extension and Usury Laws. </w:t>
      </w:r>
      <w:r>
        <w:rPr>
          <w:rFonts w:ascii="Times New Roman;Times;Serif" w:hAnsi="Times New Roman;Times;Serif"/>
          <w:b w:val="false"/>
          <w:i w:val="false"/>
          <w:caps w:val="false"/>
          <w:smallCaps w:val="false"/>
          <w:sz w:val="20"/>
        </w:rPr>
        <w:t>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tab/>
        <w:t>     </w:t>
      </w:r>
      <w:r>
        <w:rPr>
          <w:rFonts w:ascii="Times New Roman;Times;Serif" w:hAnsi="Times New Roman;Times;Serif"/>
          <w:b w:val="false"/>
          <w:i/>
          <w:caps w:val="false"/>
          <w:smallCaps w:val="false"/>
          <w:sz w:val="20"/>
        </w:rPr>
        <w:t xml:space="preserve">Compliance Certificate; Statements as to Defaults. </w:t>
      </w:r>
      <w:r>
        <w:rPr>
          <w:rFonts w:ascii="Times New Roman;Times;Serif" w:hAnsi="Times New Roman;Times;Serif"/>
          <w:b w:val="false"/>
          <w:i w:val="false"/>
          <w:caps w:val="false"/>
          <w:smallCaps w:val="false"/>
          <w:sz w:val="20"/>
        </w:rPr>
        <w:t>The Company shall deliver to the Trustee within 120 days after the end of each fiscal year of the Company (beginning with the fiscal year ending on December 31, 2026) an Officer’s Certificate stating whether the signers thereof have knowledge of any Event of Default that occurred during the previous year and, if so, specifying each such Event of Default and the nature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Company shall deliver to the Trustee,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Company is not required to deliver such notice if such Event of Default or Default has been cured or is no longer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tab/>
        <w:t>     </w:t>
      </w:r>
      <w:r>
        <w:rPr>
          <w:rFonts w:ascii="Times New Roman;Times;Serif" w:hAnsi="Times New Roman;Times;Serif"/>
          <w:b w:val="false"/>
          <w:i/>
          <w:caps w:val="false"/>
          <w:smallCaps w:val="false"/>
          <w:sz w:val="20"/>
        </w:rPr>
        <w:t xml:space="preserve">Further Instruments and Acts. </w:t>
      </w:r>
      <w:r>
        <w:rPr>
          <w:rFonts w:ascii="Times New Roman;Times;Serif" w:hAnsi="Times New Roman;Times;Serif"/>
          <w:b w:val="false"/>
          <w:i w:val="false"/>
          <w:caps w:val="false"/>
          <w:smallCaps w:val="false"/>
          <w:sz w:val="20"/>
        </w:rPr>
        <w:t>Upon request of the Trustee, the Company will execute and deliver such further instruments and do such further acts as may be reasonably necessary or proper to carry out more effectively the purposes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tab/>
        <w:t>     </w:t>
      </w:r>
      <w:r>
        <w:rPr>
          <w:rFonts w:ascii="Times New Roman;Times;Serif" w:hAnsi="Times New Roman;Times;Serif"/>
          <w:b w:val="false"/>
          <w:i/>
          <w:caps w:val="false"/>
          <w:smallCaps w:val="false"/>
          <w:sz w:val="20"/>
        </w:rPr>
        <w:t xml:space="preserve">Increase of Authorized and Unissued Shares. </w:t>
      </w:r>
      <w:r>
        <w:rPr>
          <w:rFonts w:ascii="Times New Roman;Times;Serif" w:hAnsi="Times New Roman;Times;Serif"/>
          <w:b w:val="false"/>
          <w:i w:val="false"/>
          <w:caps w:val="false"/>
          <w:smallCaps w:val="false"/>
          <w:sz w:val="20"/>
        </w:rPr>
        <w:t>The Company shall use its best efforts to increase the number of authorized and unissued shares of Common Stock to an amount that, together with other shares of Common Stock then reserved for issuance upon conversion of the Notes, is sufficient to cover the number of shares of Common Stock (the “</w:t>
      </w:r>
      <w:r>
        <w:rPr>
          <w:rFonts w:ascii="Times New Roman;Times;Serif" w:hAnsi="Times New Roman;Times;Serif"/>
          <w:b/>
          <w:i w:val="false"/>
          <w:caps w:val="false"/>
          <w:smallCaps w:val="false"/>
          <w:sz w:val="20"/>
        </w:rPr>
        <w:t>Maximum Number of Conversion Shares</w:t>
      </w:r>
      <w:r>
        <w:rPr>
          <w:rFonts w:ascii="Times New Roman;Times;Serif" w:hAnsi="Times New Roman;Times;Serif"/>
          <w:b w:val="false"/>
          <w:i w:val="false"/>
          <w:caps w:val="false"/>
          <w:smallCaps w:val="false"/>
          <w:sz w:val="20"/>
        </w:rPr>
        <w:t>”) issuable upon conversion of all then-outstanding Notes, assuming (x) Physical Settlement will apply to such conversion; and (y) the Conversion Rate is increased by the maximum amount pursuant to which the Conversion Rate may be increased pursuant to Section 14.03. The Company shall seek the approval of a charter amendment to either (i) increase the number of authorized shares of its Common Stock that results in a number of authorized and unissued shares of Common Stock at least sufficient to cover the Maximum Number of Conversion Shares (the “</w:t>
      </w:r>
      <w:r>
        <w:rPr>
          <w:rFonts w:ascii="Times New Roman;Times;Serif" w:hAnsi="Times New Roman;Times;Serif"/>
          <w:b/>
          <w:i w:val="false"/>
          <w:caps w:val="false"/>
          <w:smallCaps w:val="false"/>
          <w:sz w:val="20"/>
        </w:rPr>
        <w:t>Authorized Share Stockholder Approval</w:t>
      </w:r>
      <w:r>
        <w:rPr>
          <w:rFonts w:ascii="Times New Roman;Times;Serif" w:hAnsi="Times New Roman;Times;Serif"/>
          <w:b w:val="false"/>
          <w:i w:val="false"/>
          <w:caps w:val="false"/>
          <w:smallCaps w:val="false"/>
          <w:sz w:val="20"/>
        </w:rPr>
        <w:t>”) or (ii) effect a reverse stock split of its Common Stock that results in a number of authorized and unissued shares of Common Stock at least sufficient to cover the Maximum Number of Conversion Shares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in each case, at a meeting of its stockholders to be held as promptly as practicable after the date of this Indenture, and in any case no later than September 30, 2026, and the Company’s Board of Directors will endorse such approval in the related proxy materials. Upon receipt of the Authorized Share Stockholder Approval or the Reverse Stock Split stockholder approval, the Company shall take all actions necessary to execute such increase in the share authorization or the reverse stock split promptly. If the Company does not obtain the Authorized Share Stockholder Approval or the Reverse Stock Split stockholder approval at such stockholder meeting, the Company shall use its best efforts to (1) secure the Authorized Share Stockholder Approval or Reverse Stock Split stockholder approval as soon as possible and (2) procure that the Company’s Board of Directors recommend endorse such approval in the related proxy materials. If the Company obtains the Authorized Share Stockholder Approval or Reverse Stock Split stockholder approval and implements the increase in authorized shares of Common Stock or the Reverse Stok Split, the Company shall reserve the Maximum Number of Conversion Shares solely for issuance upon conversion of the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date on which the Company increases the number of authorized and unissued shares of Common Stock as described in the immediately preceding paragraph pursuant to the Authorized Share Stockholder Approval or Reverse Stock Split stockholder approval, or otherwise increases the number of shares of Common Stock available to settle conversions of the Notes, and, in each case, reserves the Maximum Number of Conversion Shares solely for issuance upon conversion of the outstanding Notes as the “</w:t>
      </w:r>
      <w:r>
        <w:rPr>
          <w:rFonts w:ascii="Times New Roman;Times;Serif" w:hAnsi="Times New Roman;Times;Serif"/>
          <w:b/>
          <w:i w:val="false"/>
          <w:caps w:val="false"/>
          <w:smallCaps w:val="false"/>
          <w:sz w:val="20"/>
        </w:rPr>
        <w:t>Reserved Share Effective Date</w:t>
      </w:r>
      <w:r>
        <w:rPr>
          <w:rFonts w:ascii="Times New Roman;Times;Serif" w:hAnsi="Times New Roman;Times;Serif"/>
          <w:b w:val="false"/>
          <w:i w:val="false"/>
          <w:caps w:val="false"/>
          <w:smallCaps w:val="false"/>
          <w:sz w:val="20"/>
        </w:rPr>
        <w:t>.” The Company will notify the Trustee, the Conversion Agent (if not the Trustee) and the Holders of the Reserved Share Effective Date no later than the fifth (5th) Business Day after it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5</w:t>
        <w:br/>
        <w:t>LISTS OF HOLDERS AND REPORTS BY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tab/>
        <w:t>     </w:t>
      </w:r>
      <w:r>
        <w:rPr>
          <w:rFonts w:ascii="Times New Roman;Times;Serif" w:hAnsi="Times New Roman;Times;Serif"/>
          <w:b w:val="false"/>
          <w:i/>
          <w:caps w:val="false"/>
          <w:smallCaps w:val="false"/>
          <w:sz w:val="20"/>
        </w:rPr>
        <w:t xml:space="preserve">Lists of Holders. </w:t>
      </w:r>
      <w:r>
        <w:rPr>
          <w:rFonts w:ascii="Times New Roman;Times;Serif" w:hAnsi="Times New Roman;Times;Serif"/>
          <w:b w:val="false"/>
          <w:i w:val="false"/>
          <w:caps w:val="false"/>
          <w:smallCaps w:val="false"/>
          <w:sz w:val="20"/>
        </w:rPr>
        <w:t>The Company covenants and agrees that it will furnish or cause to be furnished to the Trustee, semi-annually, not more than 15 days after each May 1 and November 1 in each year beginning with November 1, 2026,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tab/>
        <w:t>     </w:t>
      </w:r>
      <w:r>
        <w:rPr>
          <w:rFonts w:ascii="Times New Roman;Times;Serif" w:hAnsi="Times New Roman;Times;Serif"/>
          <w:b w:val="false"/>
          <w:i/>
          <w:caps w:val="false"/>
          <w:smallCaps w:val="false"/>
          <w:sz w:val="20"/>
        </w:rPr>
        <w:t xml:space="preserve">Preservation and Disclosure of Lists. </w:t>
      </w:r>
      <w:r>
        <w:rPr>
          <w:rFonts w:ascii="Times New Roman;Times;Serif" w:hAnsi="Times New Roman;Times;Serif"/>
          <w:b w:val="false"/>
          <w:i w:val="false"/>
          <w:caps w:val="false"/>
          <w:smallCaps w:val="false"/>
          <w:sz w:val="20"/>
        </w:rPr>
        <w:t>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6</w:t>
        <w:b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tab/>
        <w:t>     </w:t>
      </w:r>
      <w:r>
        <w:rPr>
          <w:rFonts w:ascii="Times New Roman;Times;Serif" w:hAnsi="Times New Roman;Times;Serif"/>
          <w:b w:val="false"/>
          <w:i/>
          <w:caps w:val="false"/>
          <w:smallCaps w:val="false"/>
          <w:sz w:val="20"/>
        </w:rPr>
        <w:t xml:space="preserve">Events of Default. </w:t>
      </w:r>
      <w:r>
        <w:rPr>
          <w:rFonts w:ascii="Times New Roman;Times;Serif" w:hAnsi="Times New Roman;Times;Serif"/>
          <w:b w:val="false"/>
          <w:i w:val="false"/>
          <w:caps w:val="false"/>
          <w:smallCaps w:val="false"/>
          <w:sz w:val="20"/>
        </w:rPr>
        <w:t>Each of the following events shall be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any payment of interest on any Note when due and payable, and the default continues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principal of any Note when due and payable on the Maturity Date, upon Optional Redemption, upon any required repurchase, upon declaration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by the Company to comply with its obligation to convert the Notes in accordance with this Indenture upon exercise of a Holder’s conversion right and such failure continues for five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failure by the Company to give (1) a Fundamental Change Company Notice in accordance with Section 15.02(c) or notice of a Make-Whole Fundamental Change in accordance with Section 14.03(b), in either case when due and such failure continues for five Business Days, or (2) notice of a specified distribution in accordance with Section 14.01(b) when due and such failure continues for one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failure by the Company to comply with its obligations under Article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failure by the Company for 60 days after written notice from the Trustee or the Holders of at least 25% in principal amount of the Notes then outstanding has been received by the Company to comply with any of its other agreements contained in the Notes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default by the Company or any Significant Subsidiary of the Company with respect to any mortgage, agreement or other instrument under which there may be outstanding, or by which there may be secured or evidenced, any indebtedness for money borrowed with a principal amount in excess of $10,000,000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30 days after written notice to the Company by the Trustee or to the Company and the Trustee by Holders of at least 25% in aggregate principal amount of Notes then outstanding in accordance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for purposes of Section 6.01(g), “indebtedness for money borrowed” shall not include any obligations due under any foreign exchange, currency option, currency swap or other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tab/>
        <w:t>     </w:t>
      </w:r>
      <w:r>
        <w:rPr>
          <w:rFonts w:ascii="Times New Roman;Times;Serif" w:hAnsi="Times New Roman;Times;Serif"/>
          <w:b w:val="false"/>
          <w:i/>
          <w:caps w:val="false"/>
          <w:smallCaps w:val="false"/>
          <w:sz w:val="20"/>
        </w:rPr>
        <w:t>Acceleration; Rescission and Annulment</w:t>
      </w:r>
      <w:r>
        <w:rPr>
          <w:rFonts w:ascii="Times New Roman;Times;Serif" w:hAnsi="Times New Roman;Times;Serif"/>
          <w:b w:val="false"/>
          <w:i w:val="false"/>
          <w:caps w:val="false"/>
          <w:smallCaps w:val="false"/>
          <w:sz w:val="20"/>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(and the Trustee at the request of such Holders accompanied by security and/or indemnity satisfactory to the Trustee and otherwise subject to the limitations in this Indenture shall) declare 100% of the principal of, and accrued and unpaid interest, if any, on, all the outstanding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6.01(h) or Section 6.01(i) with respect to the Company occurs and is continuing, 100% of the principal of, and accrued and unpaid interest, if any, on, all Notes shall become and shall automatically be due and payable immediately without any action on the part of the Trustee. If an Event of Default occurs and is continuing the Trustee may pursue, in its own name or as Trustee of an express trust, any available remedy by proceeding at law or in equity to collect the payment of principal of and interest on the notes or to enforce the performance of any provision of the Notes or this Indenture. The Trustee may maintain a proceeding even if it does not possess the Notes or does not product any of the Notes in a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(including, for the avoidance of doubt, the failure to pay interest, if any, due and payable on any Defaulted Amounts), other than the nonpayment of the principal of and accrued and unpaid interest, if any, on Notes that shall have become due solely by such acceleration, shall have been cured or waived pursuant to Section 6.09, then and in every such case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and without limiting the manner in which any Default or Event of Default can be cured: (a) a failure by the Company to send a notice in accordance with this Indenture and any related Default (or Event of Default) shall be deemed cured and shall cease to continue upon delivery of such notice to the applicable recipient; (b) if the Company fails to make any payment of principal of or interest on the Notes (or delivery of any other consideration in respect thereof) when due, such Default (or Event of Default) shall be deemed cured and shall cease to continue upon the making of such payment or delivery, as applicable, together with any accrued interest thereon, if applicable; and (c) a Reporting Event of Default shall be deemed cured and shall cease to continue at such time as the Company files the applicable report or reports that gave rise to such Reporting Event of Default (it being understood that any report that the Company files with the Commission through the EDGAR system (or any successor thereto) will be deemed to be filed with the Trustee at the time such report is so filed via the EDGAR system (or such successor));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the avoidance of doubt, (x) the cure of any Event of Default shall not invalidate any acceleration of the Notes on account of such Event of Default that was properly effected prior to such time as such Event of Default was cured and (y) the cure of any Reporting Event of Default shall not affect the Company’s obligation to pay any Additional Interest that accrues prior to the time of such cure. In addition, if an Event of Default is cured or waived before any related notice of acceleration is delivered, such Event of Default shall be deemed cured and the Notes shall not be subject to acceleration on account of such Event of Default. For the avoidance of doubt, nothing in the immediately preceding two sentences shall constitute a waiver of or in any way limit the Trustee’s or any Holder’s right to institute suit for any damages incurred as a result of an Event of Default under this Indenture even if such Event of Default is subsequently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tab/>
        <w:t>     </w:t>
      </w:r>
      <w:r>
        <w:rPr>
          <w:rFonts w:ascii="Times New Roman;Times;Serif" w:hAnsi="Times New Roman;Times;Serif"/>
          <w:b w:val="false"/>
          <w:i/>
          <w:caps w:val="false"/>
          <w:smallCaps w:val="false"/>
          <w:sz w:val="20"/>
        </w:rPr>
        <w:t>Additional Interest</w:t>
      </w:r>
      <w:r>
        <w:rPr>
          <w:rFonts w:ascii="Times New Roman;Times;Serif" w:hAnsi="Times New Roman;Times;Serif"/>
          <w:b w:val="false"/>
          <w:i w:val="false"/>
          <w:caps w:val="false"/>
          <w:smallCaps w:val="false"/>
          <w:sz w:val="20"/>
        </w:rPr>
        <w:t>. Notwithstanding anything in this Indenture or in the Notes to the contrary, to the extent the Company elects, the sole remedy for an Event of Default relating to the Company’s failure to comply with its obligations as set forth in Section 4.06(b) (such default, a “</w:t>
      </w:r>
      <w:r>
        <w:rPr>
          <w:rFonts w:ascii="Times New Roman;Times;Serif" w:hAnsi="Times New Roman;Times;Serif"/>
          <w:b/>
          <w:i w:val="false"/>
          <w:caps w:val="false"/>
          <w:smallCaps w:val="false"/>
          <w:sz w:val="20"/>
        </w:rPr>
        <w:t>Reporting Event of Default</w:t>
      </w:r>
      <w:r>
        <w:rPr>
          <w:rFonts w:ascii="Times New Roman;Times;Serif" w:hAnsi="Times New Roman;Times;Serif"/>
          <w:b w:val="false"/>
          <w:i w:val="false"/>
          <w:caps w:val="false"/>
          <w:smallCaps w:val="false"/>
          <w:sz w:val="20"/>
        </w:rPr>
        <w:t>”) shall, for the first 365 days after the occurrence of such an Event of Default, consist exclusively of the right to receive Additional Interest on the Notes at a rate equal to (x) 0.25% per annum of the principal amount of the Notes outstanding for each day that such Event of Default is continuing during the first 180 days after the occurrence of such Event of Default and (y) 0.50% per annum of the principal amount of the Notes outstanding from the 181st day to, and including, the 365th day following the occurrence of such Event of Default, as long as such Event of Default is continuing. Subject to the last paragraph of this Section 6.03, Additional Interest payable pursuant to this Section 6.03 shall be in addition to, not in lieu of, any Additional Interest payable pursuant to Section 4.06(d) or Section 4.06(e). If the Company so elects, such Additional Interest shall be payable in the same manner and on the same dates as the stated interest payable on the Notes. On the 366th day after such Event of Default (if the Event of Default relating to the Company’s failure to comply with its obligations as set forth in Section 4.06(b) is not cured or waived prior to such 366th day), the Notes shall be immediately subject to acceleration as provided in Section 6.02. The provisions of this paragraph will not affect the rights of Holders in the event of the occurrence of any Event of Default other than the Company’s failure to comply with its obligations as set forth in Section 4.06(b). In the event the Company does not elect to pay Additional Interest following an Event of Default in accordance with this Section 6.03 or the Company elected to make such payment but does not pay the Additional Interest when due, the Notes shall be immediately subject to acceleration as provided in Section 6.02 as a result of the Event of Default pursuant to Section 6.01(f) if such Event of Default is then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elect to pay Additional Interest as the sole remedy during the first 365 days after the occurrence of a Reporting Event of Default, the Company must notify all Holders of the Notes, the Trustee and the Paying Agent (if other than the Trustee) in writing of such election prior to the beginning of such 365-day period. Upon the failure to timely give such notice, the Notes shall be immediately subject to acceleration as provided in Section 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Additional Interest payable at the Company’s election as the sole remedy for a Reporting Event of Default, together with any Additional Interest that may accrue as a result of the Company’s failure to timely file any document or report that the Company is required to file with the Commission pursuant to Section 13 or 15(d) of the Exchange Act, as applicable (after giving effect to all applicable grace periods thereunder and other than reports on Form 8-K), pursuant to Section 4.06(d), accrue at a rate in excess of 0.50% per annum pursuant to this Indenture, regardless of the number of events or circumstances giving rise to the requirement to pay such Additional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tab/>
        <w:t>     </w:t>
      </w:r>
      <w:r>
        <w:rPr>
          <w:rFonts w:ascii="Times New Roman;Times;Serif" w:hAnsi="Times New Roman;Times;Serif"/>
          <w:b w:val="false"/>
          <w:i/>
          <w:caps w:val="false"/>
          <w:smallCaps w:val="false"/>
          <w:sz w:val="20"/>
        </w:rPr>
        <w:t xml:space="preserve">Payments of Notes on Default; Suit Therefor. </w:t>
      </w:r>
      <w:r>
        <w:rPr>
          <w:rFonts w:ascii="Times New Roman;Times;Serif" w:hAnsi="Times New Roman;Times;Serif"/>
          <w:b w:val="false"/>
          <w:i w:val="false"/>
          <w:caps w:val="false"/>
          <w:smallCaps w:val="false"/>
          <w:sz w:val="20"/>
        </w:rPr>
        <w:t>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expenses,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tab/>
        <w:t>     </w:t>
      </w:r>
      <w:r>
        <w:rPr>
          <w:rFonts w:ascii="Times New Roman;Times;Serif" w:hAnsi="Times New Roman;Times;Serif"/>
          <w:b w:val="false"/>
          <w:i/>
          <w:caps w:val="false"/>
          <w:smallCaps w:val="false"/>
          <w:sz w:val="20"/>
        </w:rPr>
        <w:t xml:space="preserve">Application of Monies Collected by Trustee. </w:t>
      </w:r>
      <w:r>
        <w:rPr>
          <w:rFonts w:ascii="Times New Roman;Times;Serif" w:hAnsi="Times New Roman;Times;Serif"/>
          <w:b w:val="false"/>
          <w:i w:val="false"/>
          <w:caps w:val="false"/>
          <w:smallCaps w:val="false"/>
          <w:sz w:val="20"/>
        </w:rPr>
        <w:t>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to the payment of all amounts due the Trustee in all of its capacities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in case the principal of the outstanding Notes shall not have become due and be unpaid, to the payment of interest on, and any cash due upon conversion of, the Notes in default in the order of the date due of the payments of such interest and cash due upon conversion, as the case may be, with interest (to the extent that such interest is payable on such Notes and has been collected by the Trustee) upon such overdue payments at the rate borne by the Notes then payable on such Notes at such time, such payments to be made ratably to the Persons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in case the principal of the outstanding Notes shall have become due, by declaration or otherwise, and be unpaid to the payment of the whole amount (including, if applicable, the payment of the Redemption Price, the Fundamental Change Repurchase Price and the Specified Repurchase Date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the Fundamental Change Repurchase Price and the Specified Repurchase Date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the Fundamental Change Repurchase Price and the Specified Repurchase Date Repurchase Price and any cash due upon conversion) and accrued and unpaid interest;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to the payment of the remainder, if any,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tab/>
        <w:t>     </w:t>
      </w:r>
      <w:r>
        <w:rPr>
          <w:rFonts w:ascii="Times New Roman;Times;Serif" w:hAnsi="Times New Roman;Times;Serif"/>
          <w:b w:val="false"/>
          <w:i/>
          <w:caps w:val="false"/>
          <w:smallCaps w:val="false"/>
          <w:sz w:val="20"/>
        </w:rPr>
        <w:t xml:space="preserve">Proceedings by Holders. </w:t>
      </w:r>
      <w:r>
        <w:rPr>
          <w:rFonts w:ascii="Times New Roman;Times;Serif" w:hAnsi="Times New Roman;Times;Serif"/>
          <w:b w:val="false"/>
          <w:i w:val="false"/>
          <w:caps w:val="false"/>
          <w:smallCaps w:val="false"/>
          <w:sz w:val="20"/>
        </w:rPr>
        <w:t>Except to enforce the right to receive payment of principal (including, if applicable, the Redemption Price, the Fundamental Change Repurchase Price and the Specified Repurchase Date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previously shall have given to the Trustee written notice of an Event of Default and of the continuance thereof, as 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Holders of at least 25% in aggregate principal amount of the Notes then outstanding shall have made written request upon the Trustee to institute such action, suit or proceeding in its own name as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Holders shall have offered, and if requested, provided to the Trustee such security or indemnity reasonably satisfactory to it against any loss, liability or expense to be incurred therein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60 days after its receipt of such notice, request and offer of such security or indemnity, shall have neglected or refused to institute any such action, suit or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and any provision of any Note, each Holder shall have the right to receive payment or delivery, as the case may be, of (x) the principal (including the Redemption Price, the Fundamental Change Repurchase Price and the Specified Repurchase Date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tab/>
        <w:t>     </w:t>
      </w:r>
      <w:r>
        <w:rPr>
          <w:rFonts w:ascii="Times New Roman;Times;Serif" w:hAnsi="Times New Roman;Times;Serif"/>
          <w:b w:val="false"/>
          <w:i/>
          <w:caps w:val="false"/>
          <w:smallCaps w:val="false"/>
          <w:sz w:val="20"/>
        </w:rPr>
        <w:t xml:space="preserve">Proceedings by Trustee. </w:t>
      </w:r>
      <w:r>
        <w:rPr>
          <w:rFonts w:ascii="Times New Roman;Times;Serif" w:hAnsi="Times New Roman;Times;Serif"/>
          <w:b w:val="false"/>
          <w:i w:val="false"/>
          <w:caps w:val="false"/>
          <w:smallCaps w:val="false"/>
          <w:sz w:val="20"/>
        </w:rPr>
        <w:t>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tab/>
        <w:t>     </w:t>
      </w:r>
      <w:r>
        <w:rPr>
          <w:rFonts w:ascii="Times New Roman;Times;Serif" w:hAnsi="Times New Roman;Times;Serif"/>
          <w:b w:val="false"/>
          <w:i/>
          <w:caps w:val="false"/>
          <w:smallCaps w:val="false"/>
          <w:sz w:val="20"/>
        </w:rPr>
        <w:t xml:space="preserve">Remedies Cumulative and Continuing. </w:t>
      </w:r>
      <w:r>
        <w:rPr>
          <w:rFonts w:ascii="Times New Roman;Times;Serif" w:hAnsi="Times New Roman;Times;Serif"/>
          <w:b w:val="false"/>
          <w:i w:val="false"/>
          <w:caps w:val="false"/>
          <w:smallCaps w:val="false"/>
          <w:sz w:val="20"/>
        </w:rPr>
        <w:t>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tab/>
        <w:t>     </w:t>
      </w:r>
      <w:r>
        <w:rPr>
          <w:rFonts w:ascii="Times New Roman;Times;Serif" w:hAnsi="Times New Roman;Times;Serif"/>
          <w:b w:val="false"/>
          <w:i/>
          <w:caps w:val="false"/>
          <w:smallCaps w:val="false"/>
          <w:sz w:val="20"/>
        </w:rPr>
        <w:t xml:space="preserve">Direction of Proceedings and Waiver of Defaults by Majority of Holders. </w:t>
      </w:r>
      <w:r>
        <w:rPr>
          <w:rFonts w:ascii="Times New Roman;Times;Serif" w:hAnsi="Times New Roman;Times;Serif"/>
          <w:b w:val="false"/>
          <w:i w:val="false"/>
          <w:caps w:val="false"/>
          <w:smallCaps w:val="false"/>
          <w:sz w:val="20"/>
        </w:rPr>
        <w:t xml:space="preserve">Subject to the Trustee’s right to receive security or indemnity from the relevant Holders as described herein,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such direction shall not be in conflict with any rule of law or with this Indenture, and (b) the Trustee may take any other action deemed proper by the Trustee that is not inconsistent with such direction. The Trustee may refuse to follow any direction that it determines is unduly prejudicial to the rights of any other Holder (it being understood that the Trustee shall not have an affirmative duty to ascertain whether or not any such direction is unduly prejudicial to the rights of any 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(including, for the avoidance of doubt, any acceleration as a result of such Default or Event of Default) except any continuing defaults relating to (i) a default in the payment of accrued and unpaid interest, if any, on, or the principal (including any Redemption Price, any Fundamental Change Repurchase Price and any Specified Repurchase Date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tab/>
        <w:t>     </w:t>
      </w:r>
      <w:r>
        <w:rPr>
          <w:rFonts w:ascii="Times New Roman;Times;Serif" w:hAnsi="Times New Roman;Times;Serif"/>
          <w:b w:val="false"/>
          <w:i/>
          <w:caps w:val="false"/>
          <w:smallCaps w:val="false"/>
          <w:sz w:val="20"/>
        </w:rPr>
        <w:t xml:space="preserve">Notice of Defaults. </w:t>
      </w:r>
      <w:r>
        <w:rPr>
          <w:rFonts w:ascii="Times New Roman;Times;Serif" w:hAnsi="Times New Roman;Times;Serif"/>
          <w:b w:val="false"/>
          <w:i w:val="false"/>
          <w:caps w:val="false"/>
          <w:smallCaps w:val="false"/>
          <w:sz w:val="20"/>
        </w:rPr>
        <w:t xml:space="preserve">The Trustee shall, within the later of 90 days after the occurrence and continuance of a Default of which a Responsible Officer has actual knowledge and promptly after obtaining knowledge thereof, deliver to all Holders notice of all Defaults actually known to a Responsible Officer, unless such Defaults shall have been cured or waived before the giving of such notice;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except in the case of a Default in the payment of the principal of (including the Redemption Price, the Fundamental Change Repurchase Price and the Specified Repurchase Date Repurchase Price, if applicable), or accrued and unpaid interest on, any of the Notes or a Default in the payment or delivery of the consideration due upon conversion, the Trustee shall be protected in withholding such notice if and so long as it determines that the withholding of such notice is in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tab/>
        <w:t>     </w:t>
      </w:r>
      <w:r>
        <w:rPr>
          <w:rFonts w:ascii="Times New Roman;Times;Serif" w:hAnsi="Times New Roman;Times;Serif"/>
          <w:b w:val="false"/>
          <w:i/>
          <w:caps w:val="false"/>
          <w:smallCaps w:val="false"/>
          <w:sz w:val="20"/>
        </w:rPr>
        <w:t xml:space="preserve">Undertaking to Pay Costs. </w:t>
      </w:r>
      <w:r>
        <w:rPr>
          <w:rFonts w:ascii="Times New Roman;Times;Serif" w:hAnsi="Times New Roman;Times;Serif"/>
          <w:b w:val="false"/>
          <w:i w:val="false"/>
          <w:caps w:val="false"/>
          <w:smallCaps w:val="false"/>
          <w:sz w:val="20"/>
        </w:rPr>
        <w:t xml:space="preserve">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the Fundamental Change Repurchase Price and the Specified Repurchase Date Repurchase Price, if applicable) on or after the due date expressed or provided for in such Note or to any suit for the enforcement of the right to convert any Note, or receive the consideration due upon conversion, in accordance with the provisions of Article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7</w:t>
        <w:br/>
        <w:t>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tab/>
        <w:t>     </w:t>
      </w:r>
      <w:r>
        <w:rPr>
          <w:rFonts w:ascii="Times New Roman;Times;Serif" w:hAnsi="Times New Roman;Times;Serif"/>
          <w:b w:val="false"/>
          <w:i/>
          <w:caps w:val="false"/>
          <w:smallCaps w:val="false"/>
          <w:sz w:val="20"/>
        </w:rPr>
        <w:t xml:space="preserve">Duties and Responsibilities of Trustee. </w:t>
      </w:r>
      <w:r>
        <w:rPr>
          <w:rFonts w:ascii="Times New Roman;Times;Serif" w:hAnsi="Times New Roman;Times;Serif"/>
          <w:b w:val="false"/>
          <w:i w:val="false"/>
          <w:caps w:val="false"/>
          <w:smallCaps w:val="false"/>
          <w:sz w:val="20"/>
        </w:rPr>
        <w:t xml:space="preserve">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liability or expense that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construed to relieve the Trustee from liability for its own grossly negligent action, its own grossly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occurrence of an Event of Default of which a Responsible Officer of the Trustee has written or actual knowledge and after the curing or waiving of all Events of Default that may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gross negligence and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not be liable for any error of judgment made in good faith by a Responsible Officer or Officers of the Trustee, unless it shall be proved that the Trustee was grossly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provided, every provision of this Indenture relating to the conduct or affecting the liability of, or affording protection to, the Trustee shall be subject to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not be required to give any bond or surety in respect of the execution of the trusts and powers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absence of written investment direction from the Company, all cash received by the Trustee shall be placed in a non-interest bearing trust account, and in no event shall the Trustee be liable for the selection of investments or for investment losses, fees, taxes or other charges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Trustee is also acting as Custodian, Note Registrar, Paying Agent, Conversion Agent or transfer agent hereunder, the rights and protections afforded to the Trustee pursuant to this Article 7 shall also be afforded to such Custodian, Note Registrar, Paying Agent, Conversion Agent or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Trustee shall not be deemed to have notice of any Default or Event of Default (except in the case of a Default or Event of Default in payment of scheduled principal of, premium, if any, or interest, if any, on, any Note) unless a Responsible Officer of the Trustee has actual knowledge thereof or unless written notice of any event which is in fact such a Default or Event of Default (and stating the occurrence of a Default or Event of Default) is received by the Trustee at the Corporate Trust Office of the Trustee, and such notice references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shall not be responsible or liable for any action it takes or omits to take in good faith which it reasonably believes to be authorized or within its rights or powers conferred upon it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obligated to take possession of any Common Stock, whether upon conversion or in connection with any discharge of this Indenture pursuant to Article 3 hereof, but shall satisfy its obligation as Conversion Agent by working through the stock transfer agent of the Company from time to time as directed by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neither the Trustee nor any Agent shall have any responsibility or liability for any actions taken or not taken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Prior to taking any action under this Indenture, the Trustee shall be entitled to indemnification or security satisfactory to it against any loss, liability, or expense caused by taking or not taking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tab/>
        <w:t>     </w:t>
      </w:r>
      <w:r>
        <w:rPr>
          <w:rFonts w:ascii="Times New Roman;Times;Serif" w:hAnsi="Times New Roman;Times;Serif"/>
          <w:b w:val="false"/>
          <w:i/>
          <w:caps w:val="false"/>
          <w:smallCaps w:val="false"/>
          <w:sz w:val="20"/>
        </w:rPr>
        <w:t>Reliance on Documents, Opinions, Etc</w:t>
      </w:r>
      <w:r>
        <w:rPr>
          <w:rFonts w:ascii="Times New Roman;Times;Serif" w:hAnsi="Times New Roman;Times;Serif"/>
          <w:b w:val="false"/>
          <w:i w:val="false"/>
          <w:caps w:val="false"/>
          <w:smallCaps w:val="false"/>
          <w:sz w:val="20"/>
        </w:rPr>
        <w:t>. Except as otherwise provided in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permissive rights of the Trustee enumerated herein shall not be construed as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Trustee nor any of its directors, officers, employees, agents, or affiliates shall be responsible for nor have any duty to monitor the performance or any action of the Company, or any of their respective directors, members, officers, agents, affiliates, or employees,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from the Company or from any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tab/>
        <w:t>     </w:t>
      </w:r>
      <w:r>
        <w:rPr>
          <w:rFonts w:ascii="Times New Roman;Times;Serif" w:hAnsi="Times New Roman;Times;Serif"/>
          <w:b w:val="false"/>
          <w:i/>
          <w:caps w:val="false"/>
          <w:smallCaps w:val="false"/>
          <w:sz w:val="20"/>
        </w:rPr>
        <w:t xml:space="preserve">No Responsibility for Recitals, Etc. </w:t>
      </w:r>
      <w:r>
        <w:rPr>
          <w:rFonts w:ascii="Times New Roman;Times;Serif" w:hAnsi="Times New Roman;Times;Serif"/>
          <w:b w:val="false"/>
          <w:i w:val="false"/>
          <w:caps w:val="false"/>
          <w:smallCaps w:val="false"/>
          <w:sz w:val="20"/>
        </w:rPr>
        <w:t>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the Offering Memorandum or of the Notes. The Trustee shall not be accountable for the use or application by the Company of any Notes or the proceeds of any Notes authenticated and delivered by the Trustee in conformity with the provisions of this Indenture. The Trustee shall have no responsibility or liability with respect to any information, statement or recital in the Offering Memorandum or other disclosure material prepared or distributed with respect to the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tab/>
        <w:t>     </w:t>
      </w:r>
      <w:r>
        <w:rPr>
          <w:rFonts w:ascii="Times New Roman;Times;Serif" w:hAnsi="Times New Roman;Times;Serif"/>
          <w:b w:val="false"/>
          <w:i/>
          <w:caps w:val="false"/>
          <w:smallCaps w:val="false"/>
          <w:sz w:val="20"/>
        </w:rPr>
        <w:t xml:space="preserve">Trustee, Paying Agents, Conversion Agents or Note Registrar May Own Notes. </w:t>
      </w:r>
      <w:r>
        <w:rPr>
          <w:rFonts w:ascii="Times New Roman;Times;Serif" w:hAnsi="Times New Roman;Times;Serif"/>
          <w:b w:val="false"/>
          <w:i w:val="false"/>
          <w:caps w:val="false"/>
          <w:smallCaps w:val="false"/>
          <w:sz w:val="20"/>
        </w:rPr>
        <w:t>The Trustee, any Paying Agent, any Conversion Agent or Note Registrar, in its individual or any other capacity, may become the owner or pledgee of Notes with the same rights it would have if it were not the Trustee, Paying Agent, Conversion Agent or Note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tab/>
        <w:t>     </w:t>
      </w:r>
      <w:r>
        <w:rPr>
          <w:rFonts w:ascii="Times New Roman;Times;Serif" w:hAnsi="Times New Roman;Times;Serif"/>
          <w:b w:val="false"/>
          <w:i/>
          <w:caps w:val="false"/>
          <w:smallCaps w:val="false"/>
          <w:sz w:val="20"/>
        </w:rPr>
        <w:t xml:space="preserve">Monies and Shares of Common Stock to Be Held in Trust. </w:t>
      </w:r>
      <w:r>
        <w:rPr>
          <w:rFonts w:ascii="Times New Roman;Times;Serif" w:hAnsi="Times New Roman;Times;Serif"/>
          <w:b w:val="false"/>
          <w:i w:val="false"/>
          <w:caps w:val="false"/>
          <w:smallCaps w:val="false"/>
          <w:sz w:val="20"/>
        </w:rPr>
        <w:t>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The Trustee shall be under no liability for interest on any money or shares of Common Stock received by it hereunder except as may be agreed from time to time by the Company and the Trustee. The Trustee shall not be obligated to take possession of any Common Stock, whether upon conversion or in connection with any discharge of this Indenture pursuant to Article 3 hereof, but shall satisfy its obligation as Conversion Agent by working through the stock transfer agent of the Company from time to time as directed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tab/>
        <w:t>     </w:t>
      </w:r>
      <w:r>
        <w:rPr>
          <w:rFonts w:ascii="Times New Roman;Times;Serif" w:hAnsi="Times New Roman;Times;Serif"/>
          <w:b w:val="false"/>
          <w:i/>
          <w:caps w:val="false"/>
          <w:smallCaps w:val="false"/>
          <w:sz w:val="20"/>
        </w:rPr>
        <w:t xml:space="preserve">Compensation and Expenses of Trustee. </w:t>
      </w:r>
      <w:r>
        <w:rPr>
          <w:rFonts w:ascii="Times New Roman;Times;Serif" w:hAnsi="Times New Roman;Times;Serif"/>
          <w:b w:val="false"/>
          <w:i w:val="false"/>
          <w:caps w:val="false"/>
          <w:smallCaps w:val="false"/>
          <w:sz w:val="20"/>
        </w:rPr>
        <w:t>The Company covenants and agrees to pay to the Trustee, in any capacity under this Indenture, from time to time and the Trustee shall receive such compensation agreed in writing between the Company and the Trustee for all services rendered by it hereunder in any capacity (which shall not be limited by any provision of law in regard to the compensation of a trustee of an express trust) as previously and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as determined by a final, non-appealable decision of a court of competent jurisdiction.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as determined by a final, non-appealable decision of a court of competent jurisdiction, and arising out of or in connection with the acceptance or administration of this Indenture or in any other capacity hereunder and the enforcement of this Indenture (including this Section 7.06),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tab/>
        <w:t>     </w:t>
      </w:r>
      <w:r>
        <w:rPr>
          <w:rFonts w:ascii="Times New Roman;Times;Serif" w:hAnsi="Times New Roman;Times;Serif"/>
          <w:b w:val="false"/>
          <w:i/>
          <w:caps w:val="false"/>
          <w:smallCaps w:val="false"/>
          <w:sz w:val="20"/>
        </w:rPr>
        <w:t xml:space="preserve">Officer’s Certificate as Evidence. </w:t>
      </w: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tab/>
        <w:t>     </w:t>
      </w:r>
      <w:r>
        <w:rPr>
          <w:rFonts w:ascii="Times New Roman;Times;Serif" w:hAnsi="Times New Roman;Times;Serif"/>
          <w:b w:val="false"/>
          <w:i/>
          <w:caps w:val="false"/>
          <w:smallCaps w:val="false"/>
          <w:sz w:val="20"/>
        </w:rPr>
        <w:t xml:space="preserve">Eligibility of Trustee. </w:t>
      </w:r>
      <w:r>
        <w:rPr>
          <w:rFonts w:ascii="Times New Roman;Times;Serif" w:hAnsi="Times New Roman;Times;Serif"/>
          <w:b w:val="false"/>
          <w:i w:val="false"/>
          <w:caps w:val="false"/>
          <w:smallCaps w:val="false"/>
          <w:sz w:val="20"/>
        </w:rPr>
        <w:t>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promptly in the manner and with the effect hereinafter specified in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tab/>
        <w:t>     </w:t>
      </w:r>
      <w:r>
        <w:rPr>
          <w:rFonts w:ascii="Times New Roman;Times;Serif" w:hAnsi="Times New Roman;Times;Serif"/>
          <w:b w:val="false"/>
          <w:i/>
          <w:caps w:val="false"/>
          <w:smallCaps w:val="false"/>
          <w:sz w:val="20"/>
        </w:rPr>
        <w:t>Resignation or Removal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at the expense of the Company, upon ten Business Days’ 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of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cease to be eligible in accordance with the provisions of Section 7.08 and shall fail to resign after written request therefor by the Company or by any such 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and appointment of a successor trustee pursuant to any of the provisions of this Section 7.09 shall become effective upon acceptance of appointment by the successor trustee as provided in Section 7.10.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tab/>
        <w:t>     </w:t>
      </w:r>
      <w:r>
        <w:rPr>
          <w:rFonts w:ascii="Times New Roman;Times;Serif" w:hAnsi="Times New Roman;Times;Serif"/>
          <w:b w:val="false"/>
          <w:i/>
          <w:caps w:val="false"/>
          <w:smallCaps w:val="false"/>
          <w:sz w:val="20"/>
        </w:rPr>
        <w:t xml:space="preserve">Acceptance by Successor Trustee. </w:t>
      </w:r>
      <w:r>
        <w:rPr>
          <w:rFonts w:ascii="Times New Roman;Times;Serif" w:hAnsi="Times New Roman;Times;Serif"/>
          <w:b w:val="false"/>
          <w:i w:val="false"/>
          <w:caps w:val="false"/>
          <w:smallCaps w:val="false"/>
          <w:sz w:val="20"/>
        </w:rPr>
        <w:t>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shall accept appointment as provided in this Section 7.10 unless at the time of such acceptance such successor trustee shall be eligible under the provisions of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tab/>
        <w:t>     </w:t>
      </w:r>
      <w:r>
        <w:rPr>
          <w:rFonts w:ascii="Times New Roman;Times;Serif" w:hAnsi="Times New Roman;Times;Serif"/>
          <w:b w:val="false"/>
          <w:i/>
          <w:caps w:val="false"/>
          <w:smallCaps w:val="false"/>
          <w:sz w:val="20"/>
        </w:rPr>
        <w:t>Succession by Merger, Etc</w:t>
      </w:r>
      <w:r>
        <w:rPr>
          <w:rFonts w:ascii="Times New Roman;Times;Serif" w:hAnsi="Times New Roman;Times;Serif"/>
          <w:b w:val="false"/>
          <w:i w:val="false"/>
          <w:caps w:val="false"/>
          <w:smallCaps w:val="false"/>
          <w:sz w:val="20"/>
        </w:rPr>
        <w:t>. Any organization or other entity into which the Trustee may be merged or converted or with which it may be consolidated, or any organization or other entity resulting from any merger, conversion or consolidation to which the Trustee shall be a party, or any organization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provided that in the case of any organization or other entity succeeding to all or substantially all of the corporate trust business of the Trustee such organization or other entity shall be eligible under the provisions of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right to adopt the certificate of authentication of any predecessor trustee or to authenticate Notes in the name of any predecessor trustee shall apply only to its successor or successors by merger, conversion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tab/>
        <w:t>     </w:t>
      </w:r>
      <w:r>
        <w:rPr>
          <w:rFonts w:ascii="Times New Roman;Times;Serif" w:hAnsi="Times New Roman;Times;Serif"/>
          <w:b w:val="false"/>
          <w:i/>
          <w:caps w:val="false"/>
          <w:smallCaps w:val="false"/>
          <w:sz w:val="20"/>
        </w:rPr>
        <w:t xml:space="preserve">Trustee’s Application for Instructions from the Company. </w:t>
      </w:r>
      <w:r>
        <w:rPr>
          <w:rFonts w:ascii="Times New Roman;Times;Serif" w:hAnsi="Times New Roman;Times;Serif"/>
          <w:b w:val="false"/>
          <w:i w:val="false"/>
          <w:caps w:val="false"/>
          <w:smallCaps w:val="false"/>
          <w:sz w:val="20"/>
        </w:rPr>
        <w:t>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notice to the Company has been deemed given pursuant to Section 17.03,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8</w:t>
        <w:br/>
        <w:t>CONCERNING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tab/>
        <w:t>     </w:t>
      </w:r>
      <w:r>
        <w:rPr>
          <w:rFonts w:ascii="Times New Roman;Times;Serif" w:hAnsi="Times New Roman;Times;Serif"/>
          <w:b w:val="false"/>
          <w:i/>
          <w:caps w:val="false"/>
          <w:smallCaps w:val="false"/>
          <w:sz w:val="20"/>
        </w:rPr>
        <w:t xml:space="preserve">Action by Holders. </w:t>
      </w:r>
      <w:r>
        <w:rPr>
          <w:rFonts w:ascii="Times New Roman;Times;Serif" w:hAnsi="Times New Roman;Times;Serif"/>
          <w:b w:val="false"/>
          <w:i w:val="false"/>
          <w:caps w:val="false"/>
          <w:smallCaps w:val="false"/>
          <w:sz w:val="20"/>
        </w:rPr>
        <w:t>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tab/>
        <w:t>     </w:t>
      </w:r>
      <w:r>
        <w:rPr>
          <w:rFonts w:ascii="Times New Roman;Times;Serif" w:hAnsi="Times New Roman;Times;Serif"/>
          <w:b w:val="false"/>
          <w:i/>
          <w:caps w:val="false"/>
          <w:smallCaps w:val="false"/>
          <w:sz w:val="20"/>
        </w:rPr>
        <w:t xml:space="preserve">Proof of Execution by Holders. </w:t>
      </w:r>
      <w:r>
        <w:rPr>
          <w:rFonts w:ascii="Times New Roman;Times;Serif" w:hAnsi="Times New Roman;Times;Serif"/>
          <w:b w:val="false"/>
          <w:i w:val="false"/>
          <w:caps w:val="false"/>
          <w:smallCaps w:val="false"/>
          <w:sz w:val="20"/>
        </w:rPr>
        <w:t>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tab/>
        <w:t>     </w:t>
      </w:r>
      <w:r>
        <w:rPr>
          <w:rFonts w:ascii="Times New Roman;Times;Serif" w:hAnsi="Times New Roman;Times;Serif"/>
          <w:b w:val="false"/>
          <w:i/>
          <w:caps w:val="false"/>
          <w:smallCaps w:val="false"/>
          <w:sz w:val="20"/>
        </w:rPr>
        <w:t xml:space="preserve">Who Are Deemed Absolute Owners. </w:t>
      </w:r>
      <w:r>
        <w:rPr>
          <w:rFonts w:ascii="Times New Roman;Times;Serif" w:hAnsi="Times New Roman;Times;Serif"/>
          <w:b w:val="false"/>
          <w:i w:val="false"/>
          <w:caps w:val="false"/>
          <w:smallCaps w:val="false"/>
          <w:sz w:val="20"/>
        </w:rPr>
        <w:t>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any Fundamental Change Repurchase Price and any Specified Repurchase Date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tab/>
        <w:t>     </w:t>
      </w:r>
      <w:r>
        <w:rPr>
          <w:rFonts w:ascii="Times New Roman;Times;Serif" w:hAnsi="Times New Roman;Times;Serif"/>
          <w:b w:val="false"/>
          <w:i/>
          <w:caps w:val="false"/>
          <w:smallCaps w:val="false"/>
          <w:sz w:val="20"/>
        </w:rPr>
        <w:t xml:space="preserve">Company-Owned Notes Disregarded. </w:t>
      </w:r>
      <w:r>
        <w:rPr>
          <w:rFonts w:ascii="Times New Roman;Times;Serif" w:hAnsi="Times New Roman;Times;Serif"/>
          <w:b w:val="false"/>
          <w:i w:val="false"/>
          <w:caps w:val="false"/>
          <w:smallCaps w:val="false"/>
          <w:sz w:val="20"/>
        </w:rPr>
        <w:t xml:space="preserve">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tab/>
        <w:t>     </w:t>
      </w:r>
      <w:r>
        <w:rPr>
          <w:rFonts w:ascii="Times New Roman;Times;Serif" w:hAnsi="Times New Roman;Times;Serif"/>
          <w:b w:val="false"/>
          <w:i/>
          <w:caps w:val="false"/>
          <w:smallCaps w:val="false"/>
          <w:sz w:val="20"/>
        </w:rPr>
        <w:t xml:space="preserve">Revocation of Consents; Future Holders Bound. </w:t>
      </w:r>
      <w:r>
        <w:rPr>
          <w:rFonts w:ascii="Times New Roman;Times;Serif" w:hAnsi="Times New Roman;Times;Serif"/>
          <w:b w:val="false"/>
          <w:i w:val="false"/>
          <w:caps w:val="false"/>
          <w:smallCaps w:val="false"/>
          <w:sz w:val="20"/>
        </w:rPr>
        <w:t>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9</w:t>
        <w:br/>
        <w:t>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tab/>
        <w:t>     </w:t>
      </w:r>
      <w:r>
        <w:rPr>
          <w:rFonts w:ascii="Times New Roman;Times;Serif" w:hAnsi="Times New Roman;Times;Serif"/>
          <w:b w:val="false"/>
          <w:i/>
          <w:caps w:val="false"/>
          <w:smallCaps w:val="false"/>
          <w:sz w:val="20"/>
        </w:rPr>
        <w:t xml:space="preserve">Purpose of Meetings. </w:t>
      </w:r>
      <w:r>
        <w:rPr>
          <w:rFonts w:ascii="Times New Roman;Times;Serif" w:hAnsi="Times New Roman;Times;Serif"/>
          <w:b w:val="false"/>
          <w:i w:val="false"/>
          <w:caps w:val="false"/>
          <w:smallCaps w:val="false"/>
          <w:sz w:val="20"/>
        </w:rPr>
        <w:t>A meeting of Holders may be called at any time and from time to time pursuant to the provisions of this Article 9 for any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remove the Trustee and nominate a successor trustee pursuant to the provisions of Article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consent to the execution of an indenture or indentures supplemental hereto pursuant to the provisions of Section 10.02;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take any other action authorized to be taken by or on behalf of the Holders of any specified aggregate principal amount of the Notes under any other provision of this Indenture or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tab/>
        <w:t>     </w:t>
      </w:r>
      <w:r>
        <w:rPr>
          <w:rFonts w:ascii="Times New Roman;Times;Serif" w:hAnsi="Times New Roman;Times;Serif"/>
          <w:b w:val="false"/>
          <w:i/>
          <w:caps w:val="false"/>
          <w:smallCaps w:val="false"/>
          <w:sz w:val="20"/>
        </w:rPr>
        <w:t xml:space="preserve">Call of Meetings by Trustee. </w:t>
      </w:r>
      <w:r>
        <w:rPr>
          <w:rFonts w:ascii="Times New Roman;Times;Serif" w:hAnsi="Times New Roman;Times;Serif"/>
          <w:b w:val="false"/>
          <w:i w:val="false"/>
          <w:caps w:val="false"/>
          <w:smallCaps w:val="false"/>
          <w:sz w:val="20"/>
        </w:rPr>
        <w:t>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tab/>
        <w:t>     </w:t>
      </w:r>
      <w:r>
        <w:rPr>
          <w:rFonts w:ascii="Times New Roman;Times;Serif" w:hAnsi="Times New Roman;Times;Serif"/>
          <w:b w:val="false"/>
          <w:i/>
          <w:caps w:val="false"/>
          <w:smallCaps w:val="false"/>
          <w:sz w:val="20"/>
        </w:rPr>
        <w:t xml:space="preserve">Call of Meetings by Company or Holders. </w:t>
      </w:r>
      <w:r>
        <w:rPr>
          <w:rFonts w:ascii="Times New Roman;Times;Serif" w:hAnsi="Times New Roman;Times;Serif"/>
          <w:b w:val="false"/>
          <w:i w:val="false"/>
          <w:caps w:val="false"/>
          <w:smallCaps w:val="false"/>
          <w:sz w:val="20"/>
        </w:rPr>
        <w:t>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tab/>
        <w:t>     </w:t>
      </w:r>
      <w:r>
        <w:rPr>
          <w:rFonts w:ascii="Times New Roman;Times;Serif" w:hAnsi="Times New Roman;Times;Serif"/>
          <w:b w:val="false"/>
          <w:i/>
          <w:caps w:val="false"/>
          <w:smallCaps w:val="false"/>
          <w:sz w:val="20"/>
        </w:rPr>
        <w:t xml:space="preserve">Qualifications for Voting. </w:t>
      </w:r>
      <w:r>
        <w:rPr>
          <w:rFonts w:ascii="Times New Roman;Times;Serif" w:hAnsi="Times New Roman;Times;Serif"/>
          <w:b w:val="false"/>
          <w:i w:val="false"/>
          <w:caps w:val="false"/>
          <w:smallCaps w:val="false"/>
          <w:sz w:val="20"/>
        </w:rPr>
        <w:t>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tab/>
        <w:t>     </w:t>
      </w:r>
      <w:r>
        <w:rPr>
          <w:rFonts w:ascii="Times New Roman;Times;Serif" w:hAnsi="Times New Roman;Times;Serif"/>
          <w:b w:val="false"/>
          <w:i/>
          <w:caps w:val="false"/>
          <w:smallCaps w:val="false"/>
          <w:sz w:val="20"/>
        </w:rPr>
        <w:t xml:space="preserve">Regulations. </w:t>
      </w:r>
      <w:r>
        <w:rPr>
          <w:rFonts w:ascii="Times New Roman;Times;Serif" w:hAnsi="Times New Roman;Times;Serif"/>
          <w:b w:val="false"/>
          <w:i w:val="false"/>
          <w:caps w:val="false"/>
          <w:smallCaps w:val="false"/>
          <w:sz w:val="20"/>
        </w:rPr>
        <w:t>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Section 8.04, at any meeting of Holders each Holder or proxyholder shall be entitled to one vote for each $1,000 principal amount of Notes held or represented by him or her;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tab/>
        <w:t>     </w:t>
      </w:r>
      <w:r>
        <w:rPr>
          <w:rFonts w:ascii="Times New Roman;Times;Serif" w:hAnsi="Times New Roman;Times;Serif"/>
          <w:b w:val="false"/>
          <w:i/>
          <w:caps w:val="false"/>
          <w:smallCaps w:val="false"/>
          <w:sz w:val="20"/>
        </w:rPr>
        <w:t xml:space="preserve">Voting. </w:t>
      </w:r>
      <w:r>
        <w:rPr>
          <w:rFonts w:ascii="Times New Roman;Times;Serif" w:hAnsi="Times New Roman;Times;Serif"/>
          <w:b w:val="false"/>
          <w:i w:val="false"/>
          <w:caps w:val="false"/>
          <w:smallCaps w:val="false"/>
          <w:sz w:val="20"/>
        </w:rPr>
        <w:t>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record so signed and verified shall be conclusive evidence of the matters therein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tab/>
        <w:t>     </w:t>
      </w:r>
      <w:r>
        <w:rPr>
          <w:rFonts w:ascii="Times New Roman;Times;Serif" w:hAnsi="Times New Roman;Times;Serif"/>
          <w:b w:val="false"/>
          <w:i/>
          <w:caps w:val="false"/>
          <w:smallCaps w:val="false"/>
          <w:sz w:val="20"/>
        </w:rPr>
        <w:t xml:space="preserve">No Delay of Rights by Meeting. </w:t>
      </w:r>
      <w:r>
        <w:rPr>
          <w:rFonts w:ascii="Times New Roman;Times;Serif" w:hAnsi="Times New Roman;Times;Serif"/>
          <w:b w:val="false"/>
          <w:i w:val="false"/>
          <w:caps w:val="false"/>
          <w:smallCaps w:val="false"/>
          <w:sz w:val="20"/>
        </w:rPr>
        <w:t>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10</w:t>
        <w:b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tab/>
        <w:t>   </w:t>
      </w:r>
      <w:r>
        <w:rPr>
          <w:rFonts w:ascii="Times New Roman;Times;Serif" w:hAnsi="Times New Roman;Times;Serif"/>
          <w:b w:val="false"/>
          <w:i/>
          <w:caps w:val="false"/>
          <w:smallCaps w:val="false"/>
          <w:sz w:val="20"/>
        </w:rPr>
        <w:t xml:space="preserve">Supplemental Indentures Without Consent of Holders. </w:t>
      </w:r>
      <w:r>
        <w:rPr>
          <w:rFonts w:ascii="Times New Roman;Times;Serif" w:hAnsi="Times New Roman;Times;Serif"/>
          <w:b w:val="false"/>
          <w:i w:val="false"/>
          <w:caps w:val="false"/>
          <w:smallCaps w:val="false"/>
          <w:sz w:val="20"/>
        </w:rPr>
        <w:t>The Company and the Trustee, at the Company’s expense, may from time to time and at any time enter into an indenture or indentures supplemental hereto for one or more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omission, defect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for the assumption by a Successor Entity of the obligations of the Company under this Indenture pursuant to Article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add guarantees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secure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the covenants or Events of Default of the Company for the benefit of the Holders or surrender any right or power conferred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make any change that does not adversely affect the rights of any Holder as determined by the Company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connection with any Share Exchange Event, to provide that the Notes are convertible into Reference Property, subject to the provisions of Section 14.02, and make such related changes to the terms of the Notes to the extent expressly required by Section 14.07;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conform the provisions of this Indenture or the Notes to the “Description of Notes” section of the Offering Memorandum as evidenced in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comply with the rules of any applicable Depositary, including The Depository Trust Company, so long as such amendment does not adversely affect the rights of any Holder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appoint a successor trustee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increase the Conversion Rate as provided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provide for the acceptance of appointment by a successor Trustee, Note Registrar, Paying Agent or Conversion Agent to facilitate the administration of the trusts under this Indenture by more than one trustee;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to irrevocably elect a Settlement Method or a Specified Dollar Amount, or eliminate the Company’s right to elect a Settlement Method;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election or elimination will affect any Settlement Method theretofore elected (or deemed to be elected) with respect to any Note pursuant to the provisions of Article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Company,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tab/>
        <w:t>   </w:t>
      </w:r>
      <w:r>
        <w:rPr>
          <w:rFonts w:ascii="Times New Roman;Times;Serif" w:hAnsi="Times New Roman;Times;Serif"/>
          <w:b w:val="false"/>
          <w:i/>
          <w:caps w:val="false"/>
          <w:smallCaps w:val="false"/>
          <w:sz w:val="20"/>
        </w:rPr>
        <w:t xml:space="preserve">Supplemental Indentures with Consent of Holders. </w:t>
      </w:r>
      <w:r>
        <w:rPr>
          <w:rFonts w:ascii="Times New Roman;Times;Serif" w:hAnsi="Times New Roman;Times;Serif"/>
          <w:b w:val="false"/>
          <w:i w:val="false"/>
          <w:caps w:val="false"/>
          <w:smallCaps w:val="false"/>
          <w:sz w:val="20"/>
        </w:rPr>
        <w:t xml:space="preserve">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without the consent of each Holder of an outstanding Note affected, no such supplemental indenture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principal amount of Notes whose Holders must consent to 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rate of or extend the stated time for payment of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principal of or extend the Maturity Date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required by this Indenture, make any change that adversely affects the conversion rights of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reduce the Redemption Price, the Specified Repurchase Date Repurchase Price on the Specified Repurchase Date or the Fundamental Change Repurchase Price of any Note or amend or modify in any manner adverse to the Holders the Company’s obligation to make such payments, whether through an amendment or waiver of provisions in the covenants, definitions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Note payable in a currency, or at a place of payment, other than that stated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change the ranking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eliminate the contractual right of any Holder to institute suit for the enforcement of its right to receive payment or delivery, as the case may be, of the principal (including the Fundamental Change Repurchase Price, the Specified Repurchase Date Repurchase Price or Redemption Price, if applicable) of, accrued and unpaid interest, if any, on, and the consideration due upon conversion of, its Notes, on or after the respective due dates expressed or provided for in the Notes or this Indenture;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make any change in this Article 10 that requires each Holder’s consent or in the waiver provisions in Section 6.02 or Section 6.09.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do not need under this Section 10.02 to approve the particular form of any proposed supplemental indenture. It shall be sufficient if such Holders approve the substance thereof. After any such supplemental indenture becomes effective, the Company shall deliver to the Holders a notice briefly describing such supplemental indenture. However, the failure to give such notice to all the Holders, or any defect in the notice, will not impair or affect the validity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tab/>
        <w:t>   </w:t>
      </w:r>
      <w:r>
        <w:rPr>
          <w:rFonts w:ascii="Times New Roman;Times;Serif" w:hAnsi="Times New Roman;Times;Serif"/>
          <w:b w:val="false"/>
          <w:i/>
          <w:caps w:val="false"/>
          <w:smallCaps w:val="false"/>
          <w:sz w:val="20"/>
        </w:rPr>
        <w:t xml:space="preserve">Effect of Supplemental Indentures. </w:t>
      </w:r>
      <w:r>
        <w:rPr>
          <w:rFonts w:ascii="Times New Roman;Times;Serif" w:hAnsi="Times New Roman;Times;Serif"/>
          <w:b w:val="false"/>
          <w:i w:val="false"/>
          <w:caps w:val="false"/>
          <w:smallCaps w:val="false"/>
          <w:sz w:val="20"/>
        </w:rPr>
        <w:t>Upon the execution of any supplemental indenture pursuant to the provisions of this Article 10, this Indenture shall be and be deemed to be modified and amended in accordance therewith and the respective rights, limitation of rights, obligations, duties, indemnities, privileges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tab/>
        <w:t>   </w:t>
      </w:r>
      <w:r>
        <w:rPr>
          <w:rFonts w:ascii="Times New Roman;Times;Serif" w:hAnsi="Times New Roman;Times;Serif"/>
          <w:b w:val="false"/>
          <w:i/>
          <w:caps w:val="false"/>
          <w:smallCaps w:val="false"/>
          <w:sz w:val="20"/>
        </w:rPr>
        <w:t xml:space="preserve">Notation on Notes. </w:t>
      </w:r>
      <w:r>
        <w:rPr>
          <w:rFonts w:ascii="Times New Roman;Times;Serif" w:hAnsi="Times New Roman;Times;Serif"/>
          <w:b w:val="false"/>
          <w:i w:val="false"/>
          <w:caps w:val="false"/>
          <w:smallCaps w:val="false"/>
          <w:sz w:val="20"/>
        </w:rPr>
        <w:t>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tab/>
        <w:t>   </w:t>
      </w:r>
      <w:r>
        <w:rPr>
          <w:rFonts w:ascii="Times New Roman;Times;Serif" w:hAnsi="Times New Roman;Times;Serif"/>
          <w:b w:val="false"/>
          <w:i/>
          <w:caps w:val="false"/>
          <w:smallCaps w:val="false"/>
          <w:sz w:val="20"/>
        </w:rPr>
        <w:t xml:space="preserve">Evidence of Compliance of Supplemental Indenture to Be Furnished Trustee. </w:t>
      </w:r>
      <w:r>
        <w:rPr>
          <w:rFonts w:ascii="Times New Roman;Times;Serif" w:hAnsi="Times New Roman;Times;Serif"/>
          <w:b w:val="false"/>
          <w:i w:val="false"/>
          <w:caps w:val="false"/>
          <w:smallCaps w:val="false"/>
          <w:sz w:val="20"/>
        </w:rPr>
        <w:t>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(such Opinion of Counsel to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11</w:t>
        <w:br/>
        <w:t>CONSOLIDATION, MERGER, SALE, CONVEYANCE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tab/>
        <w:t>   </w:t>
      </w:r>
      <w:r>
        <w:rPr>
          <w:rFonts w:ascii="Times New Roman;Times;Serif" w:hAnsi="Times New Roman;Times;Serif"/>
          <w:b w:val="false"/>
          <w:i/>
          <w:caps w:val="false"/>
          <w:smallCaps w:val="false"/>
          <w:sz w:val="20"/>
        </w:rPr>
        <w:t xml:space="preserve">Company May Consolidate, Etc. on Certain Terms. </w:t>
      </w:r>
      <w:r>
        <w:rPr>
          <w:rFonts w:ascii="Times New Roman;Times;Serif" w:hAnsi="Times New Roman;Times;Serif"/>
          <w:b w:val="false"/>
          <w:i w:val="false"/>
          <w:caps w:val="false"/>
          <w:smallCaps w:val="false"/>
          <w:sz w:val="20"/>
        </w:rPr>
        <w:t>Subject to the provisions of Section 11.02, the Company shall not consolidate with, merge with or into, or sell, convey, transfer or lease all or substantially all of the consolidated properties and assets of the Company and its Subsidiaries, taken as a whole, to another Person (each, a “</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(other than any such sale, conveyance, transfer or lease to one or more of the Company’s direct or indirect Wholly Owned Subsidiaries)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resulting, surviving or transferee Person, if not the Company, shall be a Qualified Successor Entity (such Qualified Successor Entity, the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organized and existing under the laws of the United States of America, any State thereof or the District of Columbia, and the Successor Entity (if not the Company) shall expressly assume, by supplemental indenture all of the obligations of the Company under the Notes and this Indenture; and immediately after giving effect to such Business Combination Event, no Default or Event of Default shall have occurred and be continuing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consolidated properties and assets of the Company and its Subsidiaries, taken as a whole, shall be deemed to be the sale, conveyance, transfer or lease of all or substantially all of the consolidated properties and assets of the Company and its Subsidiaries, taken as a whole, to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tab/>
        <w:t>   </w:t>
      </w:r>
      <w:r>
        <w:rPr>
          <w:rFonts w:ascii="Times New Roman;Times;Serif" w:hAnsi="Times New Roman;Times;Serif"/>
          <w:b w:val="false"/>
          <w:i/>
          <w:caps w:val="false"/>
          <w:smallCaps w:val="false"/>
          <w:sz w:val="20"/>
        </w:rPr>
        <w:t xml:space="preserve">Successor Entity to Be Substituted. </w:t>
      </w:r>
      <w:r>
        <w:rPr>
          <w:rFonts w:ascii="Times New Roman;Times;Serif" w:hAnsi="Times New Roman;Times;Serif"/>
          <w:b w:val="false"/>
          <w:i w:val="false"/>
          <w:caps w:val="false"/>
          <w:smallCaps w:val="false"/>
          <w:sz w:val="20"/>
        </w:rPr>
        <w:t>In case of any such Business Combination Event and upon the assumption by the Successor Entity,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Entity (if not the Company)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and may thereafter exercise every right and power of the Company under this Indenture. Such Successor Entity thereupon may cause to be signed, and may issue either in its own 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Business Combination Event (except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Business Combination Event, such changes in phraseology and form (but not in substance) may be made in the Notes thereafter to be issued as may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12</w:t>
        <w:br/>
        <w:t>IMMUNITY OF INCORPORATORS, STOCKHOLDERS,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w:t>
        <w:tab/>
        <w:t>   </w:t>
      </w:r>
      <w:r>
        <w:rPr>
          <w:rFonts w:ascii="Times New Roman;Times;Serif" w:hAnsi="Times New Roman;Times;Serif"/>
          <w:b w:val="false"/>
          <w:i/>
          <w:caps w:val="false"/>
          <w:smallCaps w:val="false"/>
          <w:sz w:val="20"/>
        </w:rPr>
        <w:t xml:space="preserve">Indenture and Notes Solely Corporate Obligations. </w:t>
      </w:r>
      <w:r>
        <w:rPr>
          <w:rFonts w:ascii="Times New Roman;Times;Serif" w:hAnsi="Times New Roman;Times;Serif"/>
          <w:b w:val="false"/>
          <w:i w:val="false"/>
          <w:caps w:val="false"/>
          <w:smallCaps w:val="false"/>
          <w:sz w:val="20"/>
        </w:rPr>
        <w:t>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13</w:t>
        <w:b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14</w:t>
        <w:br/>
        <w:t>CONVERSION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w:t>
        <w:tab/>
        <w:t>   </w:t>
      </w:r>
      <w:r>
        <w:rPr>
          <w:rFonts w:ascii="Times New Roman;Times;Serif" w:hAnsi="Times New Roman;Times;Serif"/>
          <w:b w:val="false"/>
          <w:i/>
          <w:caps w:val="false"/>
          <w:smallCaps w:val="false"/>
          <w:sz w:val="20"/>
        </w:rPr>
        <w:t>Conversion Privilege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Conversion Limit End Date, the Notes are not convertible pursuant to this Indenture. On or after the Conversion Limit End Date and subject to and upon compliance with the provisions of this Article 14, each Holder of a Note shall have the right, at such Holder’s option, to convert all or any portion (if the portion to be converted is $1,000 principal amount or an integral multiple thereof) of such Note prior to the close of business on the second Scheduled Trading Day immediately preceding the Maturity Date, in each case, at an initial conversion rate of 372.7866 shares of Common Stock (subject to adjustment as provided in this Article 14,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per $1,000 principal amount of Notes (subject to, and in accordance with, the settlement provisions of Section 14.02, the “</w:t>
      </w:r>
      <w:r>
        <w:rPr>
          <w:rFonts w:ascii="Times New Roman;Times;Serif" w:hAnsi="Times New Roman;Times;Serif"/>
          <w:b/>
          <w:i w:val="false"/>
          <w:caps w:val="false"/>
          <w:smallCaps w:val="false"/>
          <w:sz w:val="20"/>
        </w:rPr>
        <w:t>Conversion Obligation”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prior to the close of business on the Business Day immediately preceding February 15, 2034, the Company elects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distribute to all or substantially all holders of the Common Stock any rights, options or warrants (other than in connection with a stockholder rights plan prior to the separation of such rights from the Common Stock) entitling them, for a period of not more than 45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distribute to all or substantially all holders of the Common Stock the Company’s assets, securities or rights to purchase securities of the Company (other than in connection with a stockholder rights plan prior to separation of such rights from the Common Stock), which distribution has a per share value, as reasonably determined by the Company in good faith, exceeding 10% of the Last Reported Sale Price of the Common Stock on the Trading Day preceding the date of announcement for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either case, the Company shall notify all Holders of the Notes, the Trustee and the Conversion Agent (if other than the Trustee) in writing at least 30 Scheduled Trading Days prior to the Ex-Dividend Date for such distribution (or, if later in the case of any such separation of rights issued pursuant to a stockholder rights plan, as soon as reasonably practicable after the Company becomes aware that such separation or triggering event has occurred or will occur);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is then otherwise permitted to settle conversions of Notes by Physical Settlement (and, for the avoidance of doubt, has not irrevocably elected another Settlement Method for conversions of Notes), then the Company may instead elect to provide such notice at least ten (10) Scheduled Trading Days prior to such Ex-Dividend Date, in which case the Company shall be required to settle all conversions of Notes with a Conversion Date occurring during the period on or after the date the Company provides such notice and before such Ex-Dividend Date (or, if earlier, the date the Company announces that such issuance or distribution will not take place) by Physical Settlement, and the Company shall describe the same in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(i) the Company elects to redeem fewer than all of the outstanding Notes for Optional Redemption pursuant to Article 16, and the Holder of any Note is reasonably not able to determine, prior to the close of business on the 29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Scheduled Trading Day immediately before the relevant Redemption Date (or if, as permitted by Section 16.02(a), the Company delivers a Notice of Redemption electing Physical Settlement not less than 10 nor more than 50 Scheduled Trading Days prior to the related Redemption Date, then prior to close of business on the 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Scheduled Trading Day immediately before the relevant Redemption Date), whether such Note or beneficial interest, as applicable, is to be redeemed pursuant to such Optional Redemption, and (ii) such Holder or owner, as applicable, converts such Note or beneficial interest, as applicable, during the Redemption Period, such conversion will be deemed to be of a Note called for Optional Redemption, and such Note or beneficial interest will be deemed called for Optional Redemption solely for the purposes of such conversion (“</w:t>
      </w:r>
      <w:r>
        <w:rPr>
          <w:rFonts w:ascii="Times New Roman;Times;Serif" w:hAnsi="Times New Roman;Times;Serif"/>
          <w:b/>
          <w:i w:val="false"/>
          <w:caps w:val="false"/>
          <w:smallCaps w:val="false"/>
          <w:sz w:val="20"/>
        </w:rPr>
        <w:t>Deemed Redemption”</w:t>
      </w:r>
      <w:r>
        <w:rPr>
          <w:rFonts w:ascii="Times New Roman;Times;Serif" w:hAnsi="Times New Roman;Times;Serif"/>
          <w:b w:val="false"/>
          <w:i w:val="false"/>
          <w:caps w:val="false"/>
          <w:smallCaps w:val="false"/>
          <w:sz w:val="20"/>
        </w:rPr>
        <w:t>). Accordingly, if the Company elects to redeem fewer than all of the outstanding Notes pursuant to Article 16, Holders of the Notes that are not Called Notes will not be entitled to an increase in the Conversion Rate on account of the Notice of Redemption as set forth under Section 14.03 during the related Redemption Period, except as described in the immediately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14.02.</w:t>
        <w:tab/>
        <w:t>   </w:t>
      </w:r>
      <w:r>
        <w:rPr>
          <w:rFonts w:ascii="Times New Roman;Times;Serif" w:hAnsi="Times New Roman;Times;Serif"/>
          <w:b w:val="false"/>
          <w:i/>
          <w:caps w:val="false"/>
          <w:smallCaps w:val="false"/>
          <w:sz w:val="20"/>
        </w:rPr>
        <w:t>Conversion Procedure; Settlement Upon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this Section 14.02, Section 14.03(b) and Section 14.07(a), upon conversion of any Note, the Company shall satisfy its Conversion Obligation by paying or delivering, as the case may be, to the converting Holder, in respect of each $1,000 principal amount of Notes being converted, cash (“</w:t>
      </w:r>
      <w:r>
        <w:rPr>
          <w:rFonts w:ascii="Times New Roman;Times;Serif" w:hAnsi="Times New Roman;Times;Serif"/>
          <w:b/>
          <w:i w:val="false"/>
          <w:caps w:val="false"/>
          <w:smallCaps w:val="false"/>
          <w:sz w:val="20"/>
        </w:rPr>
        <w:t>Cash Settlement”</w:t>
      </w:r>
      <w:r>
        <w:rPr>
          <w:rFonts w:ascii="Times New Roman;Times;Serif" w:hAnsi="Times New Roman;Times;Serif"/>
          <w:b w:val="false"/>
          <w:i w:val="false"/>
          <w:caps w:val="false"/>
          <w:smallCaps w:val="false"/>
          <w:sz w:val="20"/>
        </w:rPr>
        <w:t>), shares of Common Stock, together with cash, if applicable, in lieu of delivering any fractional share of Common Stock in accordance with subsection (j) of this Section 14.02 (“</w:t>
      </w:r>
      <w:r>
        <w:rPr>
          <w:rFonts w:ascii="Times New Roman;Times;Serif" w:hAnsi="Times New Roman;Times;Serif"/>
          <w:b/>
          <w:i w:val="false"/>
          <w:caps w:val="false"/>
          <w:smallCaps w:val="false"/>
          <w:sz w:val="20"/>
        </w:rPr>
        <w:t>Physical Settlement”</w:t>
      </w:r>
      <w:r>
        <w:rPr>
          <w:rFonts w:ascii="Times New Roman;Times;Serif" w:hAnsi="Times New Roman;Times;Serif"/>
          <w:b w:val="false"/>
          <w:i w:val="false"/>
          <w:caps w:val="false"/>
          <w:smallCaps w:val="false"/>
          <w:sz w:val="20"/>
        </w:rPr>
        <w:t>) or a combination of cash and shares of Common Stock, together with cash, if applicable, in lieu of delivering any fractional share of Common Stock in accordance with subsection (j) of this Section 14.02 (“</w:t>
      </w:r>
      <w:r>
        <w:rPr>
          <w:rFonts w:ascii="Times New Roman;Times;Serif" w:hAnsi="Times New Roman;Times;Serif"/>
          <w:b/>
          <w:i w:val="false"/>
          <w:caps w:val="false"/>
          <w:smallCaps w:val="false"/>
          <w:sz w:val="20"/>
        </w:rPr>
        <w:t>Combination Settlement”</w:t>
      </w:r>
      <w:r>
        <w:rPr>
          <w:rFonts w:ascii="Times New Roman;Times;Serif" w:hAnsi="Times New Roman;Times;Serif"/>
          <w:b w:val="false"/>
          <w:i w:val="false"/>
          <w:caps w:val="false"/>
          <w:smallCaps w:val="false"/>
          <w:sz w:val="20"/>
        </w:rPr>
        <w:t>), at its election, as set forth in this Section 14.02; provided that unless and until the Reserved Share Effective Date occurs, the Company will be deemed to have elected Cash Settlement in respect of each conversion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conversions of Called Notes for which the relevant Conversion Date occurs during the related Redemption Period shall be settled using the same Settlement Method, and all conversions for which the relevant Conversion Date occurs on or after February 15, 2034, shall be settled using the same Settlement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for any conversions of Called Notes for which the relevant Conversion Date occurs during the related Redemption Period, and any conversions for which the relevant Conversion Date occurs on or after February 15, 2034, and except to the extent the Company has irrevocably elected Physical Settlement pursuant to Section 14.01(b) in a notice as described in such Section or previously made an irrevocable election with respect to all subsequent conversions in accordance with Section 14.02(a)(iii), the Company shall use the same Settlement Method for all conversions with the same Conversion Date, but the Company shall not have any obligation to use the same Settlement Method with respect to conversions with different Conversion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in respect of any Conversion Date (or any conversions of Called Notes for which the relevant Conversion Date occurs during the related Redemption Period, or for which the relevant Conversion Date occurs on or after February 15, 2034 or for which the Company has irrevocably elected Physical Settlement pursuant to Section 14.01(b) in a notice as described in such Section), the Company elects to deliver a notice (the “</w:t>
      </w:r>
      <w:r>
        <w:rPr>
          <w:rFonts w:ascii="Times New Roman;Times;Serif" w:hAnsi="Times New Roman;Times;Serif"/>
          <w:b/>
          <w:i w:val="false"/>
          <w:caps w:val="false"/>
          <w:smallCaps w:val="false"/>
          <w:sz w:val="20"/>
        </w:rPr>
        <w:t>Settlement Notice”</w:t>
      </w:r>
      <w:r>
        <w:rPr>
          <w:rFonts w:ascii="Times New Roman;Times;Serif" w:hAnsi="Times New Roman;Times;Serif"/>
          <w:b w:val="false"/>
          <w:i w:val="false"/>
          <w:caps w:val="false"/>
          <w:smallCaps w:val="false"/>
          <w:sz w:val="20"/>
        </w:rPr>
        <w:t>) of the relevant Settlement Method in respect of such Conversion Date (or such period, as the case may be), the Company shall deliver such Settlement Notice to converting Holders, the Trustee and the Conversion Agent (if other than the Trustee) no later than the close of business on the Trading Day immediately following the relevant Conversion Date (or, in the case of any conversions (A) of Called Notes for which the relevant Conversion Date occurs during the related Redemption Period, in such Notice of Redemption (and, in the case of a redemption of less than all outstanding Notes, in a notice simultaneously sent to all Holders of Notes that are not Called Notes), (B) for which the relevant Conversion Date occurs on or after February 15, 2034, no later than February 15, 2034 or (C) to the extent the Company has irrevocably elected Physical Settlement pursuant to Section 14.01(b) in a notice as described in such Section) (in each case, the “</w:t>
      </w:r>
      <w:r>
        <w:rPr>
          <w:rFonts w:ascii="Times New Roman;Times;Serif" w:hAnsi="Times New Roman;Times;Serif"/>
          <w:b/>
          <w:i w:val="false"/>
          <w:caps w:val="false"/>
          <w:smallCaps w:val="false"/>
          <w:sz w:val="20"/>
        </w:rPr>
        <w:t>Settlement Method Election Deadline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unless the Reserved Share Effective Date has occurred on or prior to the Settlement Method Election Deadline applicable to a conversion, the Company shall not be permitted to elect a Settlement Method and instead Cash Settlement shall apply, in each case, in respect of such conversion. If the Company does not elect a Settlement Method prior to the Settlement Method Election Deadline, the Company shall no longer have the right to elect a Settlement Method with respect to any conversion on such Conversion Date or during such period, and the Company shall be deemed to have elected the Default Settlement Method with respect to such conversion. Such Settlement Notice shall specify the relevant Settlement Method and in the case of an election of Combination Settlement, the relevant Settlement Notice shall indicate the Specified Dollar Amount per $1,000 principal amount of Notes. If the Company delivers a Settlement Notice electing Combination Settlement (or is deemed to have elected Combination Settlement) in respect of its Conversion Obligation but does not indicate a Specified Dollar Amount per $1,000 principal amount of Notes to be converted in such Settlement Notice, the Specified Dollar Amount per $1,000 principal amount of Notes shall be deemed to be $1,000. For the avoidance of doubt, the Company’s failure to timely elect a Settlement Method or specify as applicable a Specified Dollar Amount will not constitute a Default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notice to Holders, the Company may from time to time on or after the Reserved Share Effective Date, prior to February 15, 2034, at its option, change the Default Settlement Method. In addition, by notice to Holders, the Company may, on or after the Reserved Share Effective Date and prior to February 15, 2034, at its option, irrevocably elect to satisfy its Conversion Obligation with respect to the Notes through any Settlement Method that the Company is then permitted to elect, including Combination Settlement with a Specified Dollar Amount per $1,000 principal amount of Notes of $1,000 or with an ability to continue to set the Specified Dollar Amount per $1,000 principal amount of Notes at or above a specific amount set forth in such election notice. If after the Reserved Share Effective Date the Company changes the Default Settlement Method or irrevocably elects to fix the Settlement Method, in either case, to Combination Settlement with an ability to continue to set the Specified Dollar Amount per $1,000 principal amount of Notes at or above a specific amount, the Company will, after the date of such change or election, as the case may be, inform Holders converting their Notes, the Trustee and the Conversion Agent (if other than the Trustee) in writing of such Specified Dollar Amount no later than the relevant Settlement Method Election Deadline, or, if the Company does not timely notify Holders, such Specified Dollar Amount will be the specific amount set forth in the election notice or, if no specific amount was set forth in the election notice, such Specified Dollar Amount will be $1,000 per $1,000 principal amount of Notes. A change in the Default Settlement Method or an irrevocable election shall apply for all conversions of Notes with Conversion Dates occurring subsequent to delivery of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change or election will affect any Settlement Method theretofore elected (or deemed to be elected) with respect to any Note. For the avoidance of doubt, such an irrevocable election, if made by the Company, will be effective without the need to amend this Indenture or the Notes, including pursuant to Section 10.01(m). However, the Company may nonetheless choose to execute such an amendment at its option. If after the Reserved Share Effective Date the Company changes the Default Settlement Method or it irrevocably fixes the Settlement Method pursuant to the provisions set forth in this paragraph, then, concurrently with providing notice to the Holders, the Trustee and the Conversion Agent (if other than the Trustee) of such change or election, the Company shall either post the Default Settlement Method or fixed Settlement Method, as the case may be, on its website or disclose the same in a Current Report on Form 8-K (or any successor form) that is filed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cash, shares of Common Stock or combination of cash and shares of Common Stock in respect of any conversion of Notes (the “</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shall be computed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elects (or is deemed to have elected)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on the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elects (or is deemed to have elected)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40 consecutive Trading Days during the related Observation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40 consecutive Trading Days during the related Observation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Settlement Amount will also include cash in respect of accrued and unpaid interest to the extent provided in Section 14.02(h).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14.02(e), before any Holder of a Note shall be entitled to convert a Note as set forth above, such Holder shall (i) in the case of a Global Note, comply with the applicable procedures of the Depositary in effect at that time and (ii) in the case of a Physical Note (1) complete, manually sign and deliver an irrevocable notice to the Conversion Agent as set forth in the Form of Notice of Conversion (or a facsimile, PDF or other electronic transmission thereof) (a notice pursuant to the applicable procedures of the Depositary or a notice as set forth in the Form of Notice of Conversion, a “</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and (3) if required, furnish appropriate endorsements and transfer documents.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or Specified Repurchase Date Repurchase Notice to the Company in respect of such Notes and has not validly withdrawn such Fundamental Change Repurchase Notice or Specified Repurchase Date Repurchase Notice in accordance with Section 15.03.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Note shall be deemed to have been converted immediately prior to the close of business on the date (the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that the 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 relevant Conversion Date, if the Company elects Physical Settlement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with respect to any Conversion Date following the Regular Record Date immediately preceding the Maturity Date where Physical Settlement applies to the related conversion, the Company shall settle any such conversion on the Maturity Date), or on the second Business Day immediately following the last Trading Day of the Observation Period, in the case of any other Settlement Method. If any shares of Common Stock are due to a converting Holder, the Company shall issue or cause to be issued, and deliver (if applicable) to the Conversion Agent or to such Holder, or such Holder’s nominee or nominees, the full number of shares of Common Stock to which such Holder shall be entitled, in book-entry format through the Depositary, in satisfaction of the Company’s Conversion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 Holder submits a Note for conversion, the Company shall pay any documentary, stamp or similar issue or transfer tax due on the issue or delivery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provided in Section 14.04, no adjustment shall be made for dividends on any shares of Common Stock issued upon the conversion of any Note as provided in this Article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a Holder converts Notes after the close of business on a Regular Record Date but on or prior to the corresponding Interest Payment Date, it will receive a cash payment representing accrued and unpaid interest on such Notes to, but excluding, the applicable Conversion Date. If Notes are converted after the close of business on a Regular Record Date for an Interest Payment Date, Holders at the close of business on such Regular Record Date will receive the full amount of interest payable on such Notes on the corresponding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Person in whose name the shares of Common Stock shall be issuable upon conversion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not issue any fractional share of Common Stock upon conversion of the Notes and shall instead pay cash in lieu of delivering any fractional share of Common Stock issuable upon conversion based on the Daily VWAP for the relevant Conversion Date (or, if such Conversion Date is not a Trading Day, the immediately preceding Trading Day),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Until stockholder approval for the issuance of common stock pursuant to a conversion of the Notes is obtained, the maximum number of common stock the Company shall issue pursuant to any conversion of Notes by physical settlement shall be 67,629,947 shares of Common Stock to comply with Nasdaq Rule 5635(d). Any conversion of Notes shall be settled by cash settlement only if settlement by the issuance of Common Stock would violate Nasdaq Rule 5635(d).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14.03.</w:t>
        <w:tab/>
        <w:t>     </w:t>
      </w:r>
      <w:r>
        <w:rPr>
          <w:rFonts w:ascii="Times New Roman;Times;Serif" w:hAnsi="Times New Roman;Times;Serif"/>
          <w:b w:val="false"/>
          <w:i/>
          <w:caps w:val="false"/>
          <w:smallCaps w:val="false"/>
          <w:sz w:val="20"/>
        </w:rPr>
        <w:t>Increased Conversion Rate Applicable to Certain Notes Surrendered in Connection with Make-Whole Fundamental Changes or a 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(i) the Effective Date of a Make-Whole Fundamental Change occurs prior to the Maturity Date and a Holder elects to convert its Notes in connection with such Make-Whole Fundamental Change or (ii) the Company delivers a Notice of Redemption as provided under Section 16.02 and a Holder elects to convert its Called Notes in connection with such Notice of Redemption, as the case may be, the Company shall, under the circumstances described below, increase the Conversion Rate for the Notes so surrendered for conversion by a number of additional shares of Common Stock (the “</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as described below. A conversion of Notes shall be deemed for these purposes to be “in connection with” such Make-Whole Fundamental Change or Notice of Redemption if (x) in the case of a Make-Whole Fundamental Change, the relevant Conversion Date occurs during the period from, and including, the Effective Date of the Make-Whole Fundamental Change up to, and including, the Business Day immediately prior to the related Fundamental Change Repurchase Date (or, in the case of an Exempted Fundamental Change or a Make-Whole Fundamental Change that would have been a Fundamental Change but for the proviso in clause (b) of the definition thereof, the 35th Trading Day immediately following the Effective Date of such Make-Whole Fundamental Change) (such period, the “</w:t>
      </w:r>
      <w:r>
        <w:rPr>
          <w:rFonts w:ascii="Times New Roman;Times;Serif" w:hAnsi="Times New Roman;Times;Serif"/>
          <w:b/>
          <w:i w:val="false"/>
          <w:caps w:val="false"/>
          <w:smallCaps w:val="false"/>
          <w:sz w:val="20"/>
        </w:rPr>
        <w:t>Make-Whole Fundamental Change Period</w:t>
      </w:r>
      <w:r>
        <w:rPr>
          <w:rFonts w:ascii="Times New Roman;Times;Serif" w:hAnsi="Times New Roman;Times;Serif"/>
          <w:b w:val="false"/>
          <w:i w:val="false"/>
          <w:caps w:val="false"/>
          <w:smallCaps w:val="false"/>
          <w:sz w:val="20"/>
        </w:rPr>
        <w:t>”) or (y) in the case of a Notice of Redemption, the relevant Conversion Date for conversions of Called Notes occurs during the related Redemption Period. For the avoidance of doubt, if the Company elects to redeem fewer than all of the outstanding Notes pursuant to Article 16, Holders of the Notes that are not Called Notes will not be entitled to convert such Notes on account of the Notice of Redemption and will not be entitled to an increase in the Conversion Rate (on account of the Notice of Redemption) during the applicable Redemption Period, even if such Notes are otherwise convertible and are converted during the related Redemption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surrender of Notes for conversion in connection with a Make-Whole Fundamental Change or upon surrender of Called Notes during a Redemption Period, the Company shall, at its option, satisfy the related Conversion Obligation by Physical Settlement, Cash Settlement or Combination Settlement in accordance with Section 14.02;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such Stock Price. In such event, the Conversion Obligation shall be determined and paid to Holders in cash on the second Business Day following the Conversion Date. The Company shall notify the Holders, the Trustee and the Conversion Agent (if other than the Trustee) in writing of the Effective Date of any Make-Whole Fundamental Change no later than five Business Days after such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number of Additional Shares, if any, by which the Conversion Rate shall be increased for conversions in connection with a Make-Whole Fundamental Change or, with respect to conversions of Called Notes, during the related Redemption Period shall be determined by reference to the table below, based on the date on which the Make-Whole Fundamental Change occurs or becomes effective or the date the Company delivers the Notice of Redemption, as the case may be (in each case,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and the price (the “</w:t>
      </w:r>
      <w:r>
        <w:rPr>
          <w:rFonts w:ascii="Times New Roman;Times;Serif" w:hAnsi="Times New Roman;Times;Serif"/>
          <w:b/>
          <w:i w:val="false"/>
          <w:caps w:val="false"/>
          <w:smallCaps w:val="false"/>
          <w:sz w:val="20"/>
        </w:rPr>
        <w:t>Stock Price”</w:t>
      </w:r>
      <w:r>
        <w:rPr>
          <w:rFonts w:ascii="Times New Roman;Times;Serif" w:hAnsi="Times New Roman;Times;Serif"/>
          <w:b w:val="false"/>
          <w:i w:val="false"/>
          <w:caps w:val="false"/>
          <w:smallCaps w:val="false"/>
          <w:sz w:val="20"/>
        </w:rPr>
        <w:t>) paid (or deemed to be paid) per share of the Common Stock in the Make-Whole Fundamental Change or determined with respect to the Notice of Redemption, as the case may be.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five consecutive Trading Day period ending on, and including, the Trading Day immediately preceding the applicable Effective Date. If a conversion of Called Notes during a Redemption Period would also be deemed to be in connection with a Make-Whole Fundamental Change, a Holder of any such Notes to be converted will be entitled to a single increase to the Conversion Rate with respect to the first to occur of the Effective Date of the Notice of Redemption or the Make-Whole Fundamental Change, as applicable, and the later event shall be deemed not to have occurred for purposes of this Section 14.03.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following table sets forth the number of Additional Shares by which the Conversion Rate shall be increased per $1,000 principal amount of Notes pursuant to this Section 14.03 for each Stock Price and Effective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Price</w:t>
      </w:r>
    </w:p>
    <w:p>
      <w:pPr>
        <w:pStyle w:val="TextBody"/>
        <w:bidi w:val="0"/>
        <w:spacing w:before="0" w:after="0"/>
        <w:ind w:left="0" w:right="0" w:hanging="0"/>
        <w:jc w:val="left"/>
        <w:rPr>
          <w:caps w:val="false"/>
          <w:smallCaps w:val="false"/>
        </w:rPr>
      </w:pPr>
      <w:r>
        <w:rPr>
          <w:caps w:val="false"/>
          <w:smallCaps w:val="false"/>
        </w:rPr>
        <w:t> </w:t>
      </w:r>
    </w:p>
    <w:tbl>
      <w:tblPr>
        <w:tblW w:w="8240" w:type="dxa"/>
        <w:jc w:val="left"/>
        <w:tblInd w:w="0" w:type="dxa"/>
        <w:tblLayout w:type="fixed"/>
        <w:tblCellMar>
          <w:top w:w="0" w:type="dxa"/>
          <w:left w:w="0" w:type="dxa"/>
          <w:bottom w:w="28" w:type="dxa"/>
          <w:right w:w="0" w:type="dxa"/>
        </w:tblCellMar>
      </w:tblPr>
      <w:tblGrid>
        <w:gridCol w:w="1220"/>
        <w:gridCol w:w="60"/>
        <w:gridCol w:w="800"/>
        <w:gridCol w:w="60"/>
        <w:gridCol w:w="800"/>
        <w:gridCol w:w="60"/>
        <w:gridCol w:w="800"/>
        <w:gridCol w:w="60"/>
        <w:gridCol w:w="800"/>
        <w:gridCol w:w="60"/>
        <w:gridCol w:w="695"/>
        <w:gridCol w:w="60"/>
        <w:gridCol w:w="695"/>
        <w:gridCol w:w="60"/>
        <w:gridCol w:w="695"/>
        <w:gridCol w:w="60"/>
        <w:gridCol w:w="590"/>
        <w:gridCol w:w="60"/>
        <w:gridCol w:w="605"/>
      </w:tblGrid>
      <w:tr>
        <w:trPr/>
        <w:tc>
          <w:tcPr>
            <w:tcW w:w="122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$4.75</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$13.75</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$25.00</w:t>
            </w:r>
          </w:p>
        </w:tc>
      </w:tr>
      <w:tr>
        <w:trPr/>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167.7539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156.9128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138.4140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113.5440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79.2769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45.1011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19.1987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r>
      <w:tr>
        <w:trPr/>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167.7539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156.9128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138.4140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113.5440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79.2769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45.1011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19.1987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r>
      <w:tr>
        <w:trPr/>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167.7539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156.9128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138.4140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113.5440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79.2769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45.1011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19.1987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r>
      <w:tr>
        <w:trPr/>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167.7539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156.9128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138.4140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113.5440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79.2769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45.1011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19.1987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r>
      <w:tr>
        <w:trPr/>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167.7539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156.9128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138.4140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113.5440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79.2769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45.1011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19.1987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r>
      <w:tr>
        <w:trPr/>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167.7539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156.9128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138.4140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113.5440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79.2769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45.1011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18.5161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r>
      <w:tr>
        <w:trPr/>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167.7539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156.9128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138.4140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113.5440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79.2769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r>
      <w:tr>
        <w:trPr/>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2033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167.7539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156.9128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138.4140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110.0560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64.1323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27.3516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r>
      <w:tr>
        <w:trPr/>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167.7539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140.0359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92.3302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27.2120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Stock Price and Effective Date may not be set forth in the table above, in which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Stock Price is between two Stock Prices in the table above or the Effective Date is between two Effective Dates in the table, the number of Additional Shares by which the Conversion Rate shall be increased shall be determined by a straight-line interpolation between the number of Additional Shares set forth for the higher and lower Stock Prices and the earlier and later Effective Dates, as applicable, based on a 365-day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Stock Price is greater than $25.00 per share (subject to adjustment in the same manner as the Stock Prices set forth in the column headings of the table above pursuant to subsection (d) above), no Additional Shares shall be added to the Conversion Rate;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Stock Price is less than $1.85 per share (subject to adjustment in the same manner as the Stock Prices set forth in the column headings of the table above pursuant to subsection (d) above), no Additional Shares shall be added to the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no event shall the Conversion Rate per $1,000 principal amount of Notes exceed 540.5405 shares of Common Stock, subject to adjustment in the same manner as the Conversion Rate pursuant to 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in this Section 14.03 shall prevent an adjustment to the Conversion Rate that would otherwise be required pursuant to Section 14.04 in respect of a Make-Whole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14.04.</w:t>
        <w:tab/>
        <w:t>   </w:t>
      </w:r>
      <w:r>
        <w:rPr>
          <w:rFonts w:ascii="Times New Roman;Times;Serif" w:hAnsi="Times New Roman;Times;Serif"/>
          <w:b w:val="false"/>
          <w:i/>
          <w:caps w:val="false"/>
          <w:smallCaps w:val="false"/>
          <w:sz w:val="20"/>
        </w:rPr>
        <w:t xml:space="preserve">Adjustment of Conversion Rate. </w:t>
      </w:r>
      <w:r>
        <w:rPr>
          <w:rFonts w:ascii="Times New Roman;Times;Serif" w:hAnsi="Times New Roman;Times;Serif"/>
          <w:b w:val="false"/>
          <w:i w:val="false"/>
          <w:caps w:val="false"/>
          <w:smallCaps w:val="false"/>
          <w:sz w:val="20"/>
        </w:rPr>
        <w:t xml:space="preserve">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in effect on the Record Date for the applicable transaction,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the principal amount (expressed in thousands) of Notes held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exclusively issues shares of Common Stock as a dividend or distribution on shares of the Common Stock, or if the Company effects a share split or share combination, the Conversion Rate shall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954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5429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55"/>
        <w:gridCol w:w="155"/>
        <w:gridCol w:w="9557"/>
      </w:tblGrid>
      <w:tr>
        <w:trPr/>
        <w:tc>
          <w:tcPr>
            <w:tcW w:w="3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9557" w:type="dxa"/>
            <w:tcBorders/>
            <w:vAlign w:val="center"/>
          </w:tcPr>
          <w:p>
            <w:pPr>
              <w:pStyle w:val="TableContents"/>
              <w:bidi w:val="0"/>
              <w:spacing w:before="0" w:after="283"/>
              <w:jc w:val="both"/>
              <w:rPr/>
            </w:pPr>
            <w:r>
              <w:rPr/>
              <w:t>the Conversion Rate in effect immediately prior to the open of business on the Ex-Dividend Date of such dividend or distribution, or immediately prior to the open of business on the Effective Date of such share split or share combination,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5"/>
        <w:gridCol w:w="155"/>
        <w:gridCol w:w="9597"/>
      </w:tblGrid>
      <w:tr>
        <w:trPr/>
        <w:tc>
          <w:tcPr>
            <w:tcW w:w="3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597" w:type="dxa"/>
            <w:tcBorders/>
            <w:vAlign w:val="center"/>
          </w:tcPr>
          <w:p>
            <w:pPr>
              <w:pStyle w:val="TableContents"/>
              <w:bidi w:val="0"/>
              <w:spacing w:before="0" w:after="283"/>
              <w:jc w:val="left"/>
              <w:rPr/>
            </w:pPr>
            <w:r>
              <w:rPr/>
              <w:t>the Conversion Rate in effect immediately after the open of business on such Ex-Dividend Date or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both"/>
              <w:rPr/>
            </w:pPr>
            <w:r>
              <w:rPr/>
              <w:t>=</w:t>
            </w:r>
          </w:p>
        </w:tc>
        <w:tc>
          <w:tcPr>
            <w:tcW w:w="9572" w:type="dxa"/>
            <w:tcBorders/>
            <w:vAlign w:val="center"/>
          </w:tcPr>
          <w:p>
            <w:pPr>
              <w:pStyle w:val="TableContents"/>
              <w:bidi w:val="0"/>
              <w:spacing w:before="0" w:after="283"/>
              <w:jc w:val="both"/>
              <w:rPr/>
            </w:pPr>
            <w:r>
              <w:rPr/>
              <w:t>the number of shares of Common Stock outstanding immediately prior to the open of business on such Ex-Dividend Date or Effective Date (before giving effect to any such dividend, distribution, split or combination);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4"/>
        <w:gridCol w:w="155"/>
        <w:gridCol w:w="9628"/>
      </w:tblGrid>
      <w:tr>
        <w:trPr/>
        <w:tc>
          <w:tcPr>
            <w:tcW w:w="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OS’</w:t>
            </w:r>
          </w:p>
        </w:tc>
        <w:tc>
          <w:tcPr>
            <w:tcW w:w="155" w:type="dxa"/>
            <w:tcBorders/>
            <w:vAlign w:val="center"/>
          </w:tcPr>
          <w:p>
            <w:pPr>
              <w:pStyle w:val="TableContents"/>
              <w:bidi w:val="0"/>
              <w:spacing w:before="0" w:after="283"/>
              <w:jc w:val="left"/>
              <w:rPr/>
            </w:pPr>
            <w:r>
              <w:rPr/>
              <w:t>=</w:t>
            </w:r>
          </w:p>
        </w:tc>
        <w:tc>
          <w:tcPr>
            <w:tcW w:w="9628" w:type="dxa"/>
            <w:tcBorders/>
            <w:vAlign w:val="center"/>
          </w:tcPr>
          <w:p>
            <w:pPr>
              <w:pStyle w:val="TableContents"/>
              <w:bidi w:val="0"/>
              <w:spacing w:before="0" w:after="283"/>
              <w:jc w:val="left"/>
              <w:rPr/>
            </w:pPr>
            <w:r>
              <w:rPr/>
              <w:t>the number of shares of Common Stock outstanding immediately after giving effect to such dividend, distribution, share split or share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distributes to all or substantially all holders of the Common Stock any rights, options or warrants (other than pursuant to a stockholder rights plan) entitling them, for a period of not more than 45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43050"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43050" cy="5238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55"/>
        <w:gridCol w:w="155"/>
        <w:gridCol w:w="9557"/>
      </w:tblGrid>
      <w:tr>
        <w:trPr/>
        <w:tc>
          <w:tcPr>
            <w:tcW w:w="3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9557" w:type="dxa"/>
            <w:tcBorders/>
            <w:vAlign w:val="center"/>
          </w:tcPr>
          <w:p>
            <w:pPr>
              <w:pStyle w:val="TableContents"/>
              <w:bidi w:val="0"/>
              <w:spacing w:before="0" w:after="283"/>
              <w:jc w:val="both"/>
              <w:rPr/>
            </w:pPr>
            <w:r>
              <w:rPr/>
              <w:t>the Conversion Rate in effect immediately prior to the open of business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tbl>
      <w:tblPr>
        <w:tblW w:w="9743" w:type="dxa"/>
        <w:jc w:val="left"/>
        <w:tblInd w:w="0" w:type="dxa"/>
        <w:tblLayout w:type="fixed"/>
        <w:tblCellMar>
          <w:top w:w="0" w:type="dxa"/>
          <w:left w:w="0" w:type="dxa"/>
          <w:bottom w:w="0" w:type="dxa"/>
          <w:right w:w="0" w:type="dxa"/>
        </w:tblCellMar>
      </w:tblPr>
      <w:tblGrid>
        <w:gridCol w:w="38"/>
        <w:gridCol w:w="425"/>
        <w:gridCol w:w="155"/>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pPr>
            <w:r>
              <w:rPr/>
              <w:t>the Conversion Rate in effect immediately after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both"/>
              <w:rPr/>
            </w:pPr>
            <w:r>
              <w:rPr/>
              <w:t>=</w:t>
            </w:r>
          </w:p>
        </w:tc>
        <w:tc>
          <w:tcPr>
            <w:tcW w:w="9572" w:type="dxa"/>
            <w:tcBorders/>
            <w:vAlign w:val="center"/>
          </w:tcPr>
          <w:p>
            <w:pPr>
              <w:pStyle w:val="TableContents"/>
              <w:bidi w:val="0"/>
              <w:spacing w:before="0" w:after="283"/>
              <w:jc w:val="both"/>
              <w:rPr/>
            </w:pPr>
            <w:r>
              <w:rPr/>
              <w:t>the number of shares of Common Stock outstanding immediately prior to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1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X</w:t>
            </w:r>
          </w:p>
        </w:tc>
        <w:tc>
          <w:tcPr>
            <w:tcW w:w="155" w:type="dxa"/>
            <w:tcBorders/>
            <w:vAlign w:val="center"/>
          </w:tcPr>
          <w:p>
            <w:pPr>
              <w:pStyle w:val="TableContents"/>
              <w:bidi w:val="0"/>
              <w:spacing w:before="0" w:after="283"/>
              <w:jc w:val="left"/>
              <w:rPr/>
            </w:pPr>
            <w:r>
              <w:rPr/>
              <w:t>=</w:t>
            </w:r>
          </w:p>
        </w:tc>
        <w:tc>
          <w:tcPr>
            <w:tcW w:w="9812" w:type="dxa"/>
            <w:tcBorders/>
            <w:vAlign w:val="center"/>
          </w:tcPr>
          <w:p>
            <w:pPr>
              <w:pStyle w:val="TableContents"/>
              <w:bidi w:val="0"/>
              <w:spacing w:before="0" w:after="283"/>
              <w:jc w:val="left"/>
              <w:rPr/>
            </w:pPr>
            <w:r>
              <w:rPr/>
              <w:t>the total number of shares of Common Stock distributable pursuant to such rights, options or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1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Y</w:t>
            </w:r>
          </w:p>
        </w:tc>
        <w:tc>
          <w:tcPr>
            <w:tcW w:w="155" w:type="dxa"/>
            <w:tcBorders/>
            <w:vAlign w:val="center"/>
          </w:tcPr>
          <w:p>
            <w:pPr>
              <w:pStyle w:val="TableContents"/>
              <w:bidi w:val="0"/>
              <w:spacing w:before="0" w:after="283"/>
              <w:jc w:val="left"/>
              <w:rPr/>
            </w:pPr>
            <w:r>
              <w:rPr/>
              <w:t>=</w:t>
            </w:r>
          </w:p>
        </w:tc>
        <w:tc>
          <w:tcPr>
            <w:tcW w:w="9812" w:type="dxa"/>
            <w:tcBorders/>
            <w:vAlign w:val="center"/>
          </w:tcPr>
          <w:p>
            <w:pPr>
              <w:pStyle w:val="TableContents"/>
              <w:bidi w:val="0"/>
              <w:spacing w:before="0" w:after="283"/>
              <w:jc w:val="left"/>
              <w:rPr/>
            </w:pPr>
            <w:r>
              <w:rPr/>
              <w:t xml:space="preserve">the number of shares of Common Stock equal to the aggregate price payable to exercise such rights, options or warrants, </w:t>
            </w:r>
            <w:r>
              <w:rPr>
                <w:i/>
              </w:rPr>
              <w:t xml:space="preserve">divided by </w:t>
            </w:r>
            <w:r>
              <w:rPr/>
              <w:t>the average of the Last Reported Sale Prices of the Common Stock over the 10 consecutive Trading Day period ending on, and including, the Trading Day immediately preceding the date of announcement of the distribution of such rights, options or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made under this Section 14.04(b) shall be made successively whenever any such rights, options or warrants are distributed and shall become effective immediately after the open of business on the Ex-Dividend Date for such distribution. To the extent that shares of the Common Stock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to the Conversion Rate that would then be in effect if such Ex-Dividend Date for such distribution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14.04(b) and for the purpose of Section 14.01(b)(i), in determining whether any rights, options or warrants entitle the holders of Common Stock to subscribe for or purchase shares of the Common Stock at a price per share that is less than such average of the Last Reported Sale Prices of the Common Stock for the 10 consecutive Trading Day period ending on, and including, the Trading Day immediately preceding the date of announcement of such distribution,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pursuant to Section 14.04(a) or Section 14.04(b), (ii) except as otherwise provided in Section 14.11, rights issued pursuant to any stockholder rights plan of the Company then in effect, (iii) distributions of Reference Property in exchange for, or upon conversion of, Common Stock in a Share Exchange Event, (iv) dividends or distributions paid exclusively in cash as to which the provisions set forth in Section 14.04(d) shall apply, and (v) Spin-Offs as to which the provisions set forth below in this Section 14.04(c) shall apply (any of such shares of Capital Stock, evidences of indebtedness, other assets or property or rights, options or warrants to acquire Capital Stock or other securities, the “</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then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71650"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71650" cy="485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55"/>
        <w:gridCol w:w="155"/>
        <w:gridCol w:w="9557"/>
      </w:tblGrid>
      <w:tr>
        <w:trPr/>
        <w:tc>
          <w:tcPr>
            <w:tcW w:w="3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9557" w:type="dxa"/>
            <w:tcBorders/>
            <w:vAlign w:val="center"/>
          </w:tcPr>
          <w:p>
            <w:pPr>
              <w:pStyle w:val="TableContents"/>
              <w:bidi w:val="0"/>
              <w:spacing w:before="0" w:after="283"/>
              <w:jc w:val="both"/>
              <w:rPr/>
            </w:pPr>
            <w:r>
              <w:rPr/>
              <w:t>the Conversion Rate in effect immediately prior to the open of business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tbl>
      <w:tblPr>
        <w:tblW w:w="9743" w:type="dxa"/>
        <w:jc w:val="left"/>
        <w:tblInd w:w="0" w:type="dxa"/>
        <w:tblLayout w:type="fixed"/>
        <w:tblCellMar>
          <w:top w:w="0" w:type="dxa"/>
          <w:left w:w="0" w:type="dxa"/>
          <w:bottom w:w="0" w:type="dxa"/>
          <w:right w:w="0" w:type="dxa"/>
        </w:tblCellMar>
      </w:tblPr>
      <w:tblGrid>
        <w:gridCol w:w="38"/>
        <w:gridCol w:w="425"/>
        <w:gridCol w:w="155"/>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pPr>
            <w:r>
              <w:rPr/>
              <w:t>the Conversion Rate in effect immediately after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5"/>
        <w:gridCol w:w="155"/>
        <w:gridCol w:w="9617"/>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t>SP</w:t>
            </w:r>
            <w:r>
              <w:rPr>
                <w:position w:val="-2"/>
                <w:sz w:val="19"/>
              </w:rPr>
              <w:t>0</w:t>
            </w:r>
          </w:p>
        </w:tc>
        <w:tc>
          <w:tcPr>
            <w:tcW w:w="155" w:type="dxa"/>
            <w:tcBorders/>
            <w:vAlign w:val="center"/>
          </w:tcPr>
          <w:p>
            <w:pPr>
              <w:pStyle w:val="TableContents"/>
              <w:bidi w:val="0"/>
              <w:spacing w:before="0" w:after="283"/>
              <w:jc w:val="both"/>
              <w:rPr/>
            </w:pPr>
            <w:r>
              <w:rPr/>
              <w:t>=</w:t>
            </w:r>
          </w:p>
        </w:tc>
        <w:tc>
          <w:tcPr>
            <w:tcW w:w="9617" w:type="dxa"/>
            <w:tcBorders/>
            <w:vAlign w:val="center"/>
          </w:tcPr>
          <w:p>
            <w:pPr>
              <w:pStyle w:val="TableContents"/>
              <w:bidi w:val="0"/>
              <w:spacing w:before="0" w:after="283"/>
              <w:jc w:val="both"/>
              <w:rPr/>
            </w:pPr>
            <w:r>
              <w:rPr/>
              <w:t>the average of the Last Reported Sale Prices of the Common Stock over the 10 consecutive Trading Day period ending on, and including, the Trading Day immediately preceding the Ex-Dividend Date for such distribution;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45"/>
        <w:gridCol w:w="155"/>
        <w:gridCol w:w="9467"/>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FMV</w:t>
            </w:r>
          </w:p>
        </w:tc>
        <w:tc>
          <w:tcPr>
            <w:tcW w:w="155" w:type="dxa"/>
            <w:tcBorders/>
            <w:vAlign w:val="center"/>
          </w:tcPr>
          <w:p>
            <w:pPr>
              <w:pStyle w:val="TableContents"/>
              <w:bidi w:val="0"/>
              <w:spacing w:before="0" w:after="283"/>
              <w:jc w:val="left"/>
              <w:rPr/>
            </w:pPr>
            <w:r>
              <w:rPr/>
              <w:t>=</w:t>
            </w:r>
          </w:p>
        </w:tc>
        <w:tc>
          <w:tcPr>
            <w:tcW w:w="9467" w:type="dxa"/>
            <w:tcBorders/>
            <w:vAlign w:val="center"/>
          </w:tcPr>
          <w:p>
            <w:pPr>
              <w:pStyle w:val="TableContents"/>
              <w:bidi w:val="0"/>
              <w:spacing w:before="0" w:after="283"/>
              <w:jc w:val="left"/>
              <w:rPr/>
            </w:pPr>
            <w:r>
              <w:rPr/>
              <w:t>the fair market value (as determined by the Company in good faith) of the Distributed Property with respect to each outstanding share of the Common Stock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“SP0” (as defined above), in lieu of the foregoing increase, each Holder of a Note shall receive, in respect of each $1,000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 adjustment pursuant to this Section 14.04(c)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76425" cy="533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76425" cy="5334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8483" w:type="dxa"/>
        <w:jc w:val="left"/>
        <w:tblInd w:w="0" w:type="dxa"/>
        <w:tblLayout w:type="fixed"/>
        <w:tblCellMar>
          <w:top w:w="0" w:type="dxa"/>
          <w:left w:w="0" w:type="dxa"/>
          <w:bottom w:w="0" w:type="dxa"/>
          <w:right w:w="0" w:type="dxa"/>
        </w:tblCellMar>
      </w:tblPr>
      <w:tblGrid>
        <w:gridCol w:w="38"/>
        <w:gridCol w:w="455"/>
        <w:gridCol w:w="155"/>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7835" w:type="dxa"/>
            <w:tcBorders/>
            <w:vAlign w:val="center"/>
          </w:tcPr>
          <w:p>
            <w:pPr>
              <w:pStyle w:val="TableContents"/>
              <w:bidi w:val="0"/>
              <w:spacing w:before="0" w:after="283"/>
              <w:jc w:val="both"/>
              <w:rPr/>
            </w:pPr>
            <w:r>
              <w:rPr/>
              <w:t>the Conversion Rate in effect immediately prior to the end of the Valuation Period;</w:t>
            </w:r>
          </w:p>
        </w:tc>
      </w:tr>
    </w:tbl>
    <w:p>
      <w:pPr>
        <w:pStyle w:val="TextBody"/>
        <w:bidi w:val="0"/>
        <w:spacing w:before="0" w:after="0"/>
        <w:ind w:left="0" w:right="0" w:hanging="0"/>
        <w:jc w:val="left"/>
        <w:rPr>
          <w:caps w:val="false"/>
          <w:smallCaps w:val="false"/>
        </w:rPr>
      </w:pPr>
      <w:r>
        <w:rPr>
          <w:caps w:val="false"/>
          <w:smallCaps w:val="false"/>
        </w:rPr>
        <w:t> </w:t>
      </w:r>
    </w:p>
    <w:tbl>
      <w:tblPr>
        <w:tblW w:w="8183" w:type="dxa"/>
        <w:jc w:val="left"/>
        <w:tblInd w:w="0" w:type="dxa"/>
        <w:tblLayout w:type="fixed"/>
        <w:tblCellMar>
          <w:top w:w="0" w:type="dxa"/>
          <w:left w:w="0" w:type="dxa"/>
          <w:bottom w:w="0" w:type="dxa"/>
          <w:right w:w="0" w:type="dxa"/>
        </w:tblCellMar>
      </w:tblPr>
      <w:tblGrid>
        <w:gridCol w:w="38"/>
        <w:gridCol w:w="425"/>
        <w:gridCol w:w="155"/>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left"/>
              <w:rPr/>
            </w:pPr>
            <w:r>
              <w:rPr/>
              <w:t>the Conversion Rate in effect immediately after the end of the Valuation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50"/>
        <w:gridCol w:w="155"/>
        <w:gridCol w:w="9362"/>
      </w:tblGrid>
      <w:tr>
        <w:trPr/>
        <w:tc>
          <w:tcPr>
            <w:tcW w:w="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FMV</w:t>
            </w:r>
            <w:r>
              <w:rPr>
                <w:position w:val="-2"/>
                <w:sz w:val="19"/>
              </w:rPr>
              <w:t>0</w:t>
            </w:r>
          </w:p>
        </w:tc>
        <w:tc>
          <w:tcPr>
            <w:tcW w:w="155" w:type="dxa"/>
            <w:tcBorders/>
            <w:vAlign w:val="center"/>
          </w:tcPr>
          <w:p>
            <w:pPr>
              <w:pStyle w:val="TableContents"/>
              <w:bidi w:val="0"/>
              <w:spacing w:before="0" w:after="283"/>
              <w:jc w:val="both"/>
              <w:rPr/>
            </w:pPr>
            <w:r>
              <w:rPr/>
              <w:t>=</w:t>
            </w:r>
          </w:p>
        </w:tc>
        <w:tc>
          <w:tcPr>
            <w:tcW w:w="9362" w:type="dxa"/>
            <w:tcBorders/>
            <w:vAlign w:val="center"/>
          </w:tcPr>
          <w:p>
            <w:pPr>
              <w:pStyle w:val="TableContents"/>
              <w:bidi w:val="0"/>
              <w:spacing w:before="0" w:after="283"/>
              <w:jc w:val="both"/>
              <w:rPr/>
            </w:pPr>
            <w:r>
              <w:rPr/>
              <w:t>the average of the Last Reported Sale Prices of the Capital Stock or similar equity interest distributed to holders of the Common Stock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the Spin-Off (the “Valuation Period”); and</w:t>
            </w:r>
          </w:p>
        </w:tc>
      </w:tr>
    </w:tbl>
    <w:p>
      <w:pPr>
        <w:pStyle w:val="TextBody"/>
        <w:bidi w:val="0"/>
        <w:spacing w:before="0" w:after="0"/>
        <w:ind w:left="0" w:right="0" w:hanging="0"/>
        <w:jc w:val="left"/>
        <w:rPr>
          <w:caps w:val="false"/>
          <w:smallCaps w:val="false"/>
        </w:rPr>
      </w:pPr>
      <w:r>
        <w:rPr>
          <w:caps w:val="false"/>
          <w:smallCaps w:val="false"/>
        </w:rPr>
        <w:t> </w:t>
      </w:r>
    </w:p>
    <w:tbl>
      <w:tblPr>
        <w:tblW w:w="9563" w:type="dxa"/>
        <w:jc w:val="left"/>
        <w:tblInd w:w="0" w:type="dxa"/>
        <w:tblLayout w:type="fixed"/>
        <w:tblCellMar>
          <w:top w:w="0" w:type="dxa"/>
          <w:left w:w="0" w:type="dxa"/>
          <w:bottom w:w="0" w:type="dxa"/>
          <w:right w:w="0" w:type="dxa"/>
        </w:tblCellMar>
      </w:tblPr>
      <w:tblGrid>
        <w:gridCol w:w="38"/>
        <w:gridCol w:w="470"/>
        <w:gridCol w:w="155"/>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MP</w:t>
            </w:r>
            <w:r>
              <w:rPr>
                <w:position w:val="-2"/>
                <w:sz w:val="19"/>
              </w:rPr>
              <w:t>0</w:t>
            </w:r>
          </w:p>
        </w:tc>
        <w:tc>
          <w:tcPr>
            <w:tcW w:w="155" w:type="dxa"/>
            <w:tcBorders/>
            <w:vAlign w:val="center"/>
          </w:tcPr>
          <w:p>
            <w:pPr>
              <w:pStyle w:val="TableContents"/>
              <w:bidi w:val="0"/>
              <w:spacing w:before="0" w:after="283"/>
              <w:jc w:val="both"/>
              <w:rPr/>
            </w:pPr>
            <w:r>
              <w:rPr/>
              <w:t>=</w:t>
            </w:r>
          </w:p>
        </w:tc>
        <w:tc>
          <w:tcPr>
            <w:tcW w:w="8900" w:type="dxa"/>
            <w:tcBorders/>
            <w:vAlign w:val="center"/>
          </w:tcPr>
          <w:p>
            <w:pPr>
              <w:pStyle w:val="TableContents"/>
              <w:bidi w:val="0"/>
              <w:spacing w:before="0" w:after="283"/>
              <w:jc w:val="both"/>
              <w:rPr/>
            </w:pPr>
            <w:r>
              <w:rPr/>
              <w:t>the average of the Last Reported Sale Prices of the Common Stock over the Valuation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to the Conversion Rate under the preceding paragraph shall occur at the close of business on the last Trading Day of the Valuation Period;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(x) 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to be replaced with such lesser number of Trading Days as have elapsed from, and including, the Ex-Dividend Date of such Spin-Off to, and including, such Trading Day in determining the Conversion Rate as of such Trading Day of such Observation Period.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14.04(c) (and subject in all respect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Section 14.04(a), Section 14.04(b) and this Section 14.04(c), if any dividend or distribution to which this Section 14.04(c) is applicable also includes one or both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dividend or distribution of shares of Common Stock to which Section 14.04(a) is applicable (the “</w:t>
      </w:r>
      <w:r>
        <w:rPr>
          <w:rFonts w:ascii="Times New Roman;Times;Serif" w:hAnsi="Times New Roman;Times;Serif"/>
          <w:b/>
          <w:i w:val="false"/>
          <w:caps w:val="false"/>
          <w:smallCaps w:val="false"/>
          <w:sz w:val="20"/>
        </w:rPr>
        <w:t>Clause A Distribution</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dividend or distribution of rights, options or warrants to which Section 14.04(b) is applicable (the “</w:t>
      </w:r>
      <w:r>
        <w:rPr>
          <w:rFonts w:ascii="Times New Roman;Times;Serif" w:hAnsi="Times New Roman;Times;Serif"/>
          <w:b/>
          <w:i w:val="false"/>
          <w:caps w:val="false"/>
          <w:smallCaps w:val="false"/>
          <w:sz w:val="20"/>
        </w:rPr>
        <w:t>Clause B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either case, (1) such dividend or distribution, other than the Clause A Distribution and the Clause B Distribution, shall be deemed to be a dividend or distribution to which this Section 14.04(c) is applicable (the “</w:t>
      </w:r>
      <w:r>
        <w:rPr>
          <w:rFonts w:ascii="Times New Roman;Times;Serif" w:hAnsi="Times New Roman;Times;Serif"/>
          <w:b/>
          <w:i w:val="false"/>
          <w:caps w:val="false"/>
          <w:smallCaps w:val="false"/>
          <w:sz w:val="20"/>
        </w:rPr>
        <w:t>Clause C Distribution</w:t>
      </w:r>
      <w:r>
        <w:rPr>
          <w:rFonts w:ascii="Times New Roman;Times;Serif" w:hAnsi="Times New Roman;Times;Serif"/>
          <w:b w:val="false"/>
          <w:i w:val="false"/>
          <w:caps w:val="false"/>
          <w:smallCaps w:val="false"/>
          <w:sz w:val="20"/>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Company makes any cash dividend or distribution to all or substantially all holders of the Common Stock, the Conversion Rate shall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71725" cy="47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71725" cy="4762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70"/>
        <w:gridCol w:w="155"/>
        <w:gridCol w:w="9542"/>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CR0</w:t>
            </w:r>
          </w:p>
        </w:tc>
        <w:tc>
          <w:tcPr>
            <w:tcW w:w="155" w:type="dxa"/>
            <w:tcBorders/>
            <w:vAlign w:val="center"/>
          </w:tcPr>
          <w:p>
            <w:pPr>
              <w:pStyle w:val="TableContents"/>
              <w:bidi w:val="0"/>
              <w:spacing w:before="0" w:after="283"/>
              <w:jc w:val="left"/>
              <w:rPr/>
            </w:pPr>
            <w:r>
              <w:rPr/>
              <w:t>=</w:t>
            </w:r>
          </w:p>
        </w:tc>
        <w:tc>
          <w:tcPr>
            <w:tcW w:w="9542" w:type="dxa"/>
            <w:tcBorders/>
            <w:vAlign w:val="center"/>
          </w:tcPr>
          <w:p>
            <w:pPr>
              <w:pStyle w:val="TableContents"/>
              <w:bidi w:val="0"/>
              <w:spacing w:before="0" w:after="283"/>
              <w:jc w:val="left"/>
              <w:rPr/>
            </w:pPr>
            <w:r>
              <w:rPr/>
              <w:t>the Conversion Rate in effect immediately prior to the open of business on the Ex-Dividend Date for such dividend 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7"/>
        <w:gridCol w:w="155"/>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left"/>
              <w:rPr/>
            </w:pPr>
            <w:r>
              <w:rPr/>
              <w:t>the Conversion Rate in effect immediately after the open of business on the Ex-Dividend Date for such dividend 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0"/>
        <w:gridCol w:w="155"/>
        <w:gridCol w:w="9602"/>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SP0</w:t>
            </w:r>
          </w:p>
        </w:tc>
        <w:tc>
          <w:tcPr>
            <w:tcW w:w="155" w:type="dxa"/>
            <w:tcBorders/>
            <w:vAlign w:val="center"/>
          </w:tcPr>
          <w:p>
            <w:pPr>
              <w:pStyle w:val="TableContents"/>
              <w:bidi w:val="0"/>
              <w:spacing w:before="0" w:after="283"/>
              <w:jc w:val="left"/>
              <w:rPr/>
            </w:pPr>
            <w:r>
              <w:rPr/>
              <w:t>=</w:t>
            </w:r>
          </w:p>
        </w:tc>
        <w:tc>
          <w:tcPr>
            <w:tcW w:w="9602" w:type="dxa"/>
            <w:tcBorders/>
            <w:vAlign w:val="center"/>
          </w:tcPr>
          <w:p>
            <w:pPr>
              <w:pStyle w:val="TableContents"/>
              <w:bidi w:val="0"/>
              <w:spacing w:before="0" w:after="283"/>
              <w:jc w:val="left"/>
              <w:rPr/>
            </w:pPr>
            <w:r>
              <w:rPr/>
              <w:t>the Last Reported Sale Price of the Common Stock on the Trading Day immediately preceding the Ex-Dividend Date for such dividend or distribution;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155"/>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155" w:type="dxa"/>
            <w:tcBorders/>
            <w:vAlign w:val="center"/>
          </w:tcPr>
          <w:p>
            <w:pPr>
              <w:pStyle w:val="TableContents"/>
              <w:bidi w:val="0"/>
              <w:spacing w:before="0" w:after="283"/>
              <w:jc w:val="left"/>
              <w:rPr/>
            </w:pPr>
            <w:r>
              <w:rPr/>
              <w:t>=</w:t>
            </w:r>
          </w:p>
        </w:tc>
        <w:tc>
          <w:tcPr>
            <w:tcW w:w="9827" w:type="dxa"/>
            <w:tcBorders/>
            <w:vAlign w:val="center"/>
          </w:tcPr>
          <w:p>
            <w:pPr>
              <w:pStyle w:val="TableContents"/>
              <w:bidi w:val="0"/>
              <w:spacing w:before="0" w:after="283"/>
              <w:jc w:val="left"/>
              <w:rPr/>
            </w:pPr>
            <w:r>
              <w:rPr/>
              <w:t>the amount in cash per share the Company distributes to all or substantially all holders of the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principal amount of Notes it holds,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Company or any of its Subsidiaries make a payment in respect of a tender or exchange offer for the Common Stock that is subject to the then 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95500" cy="581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95500" cy="5810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55"/>
        <w:gridCol w:w="155"/>
        <w:gridCol w:w="9557"/>
      </w:tblGrid>
      <w:tr>
        <w:trPr/>
        <w:tc>
          <w:tcPr>
            <w:tcW w:w="3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9557" w:type="dxa"/>
            <w:tcBorders/>
            <w:vAlign w:val="center"/>
          </w:tcPr>
          <w:p>
            <w:pPr>
              <w:pStyle w:val="TableContents"/>
              <w:bidi w:val="0"/>
              <w:spacing w:before="0" w:after="283"/>
              <w:jc w:val="both"/>
              <w:rPr/>
            </w:pPr>
            <w:r>
              <w:rPr/>
              <w:t>the Conversion Rate in effect immediately prior to the close of business on the 10</w:t>
            </w:r>
            <w:r>
              <w:rPr>
                <w:position w:val="8"/>
                <w:sz w:val="19"/>
              </w:rPr>
              <w:t>th</w:t>
            </w:r>
            <w:r>
              <w:rPr/>
              <w:t xml:space="preserve"> Trading Day immediately following, and including, the Trading Day next succeeding the date such tender or exchange offer expires;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3"/>
        <w:gridCol w:w="155"/>
        <w:gridCol w:w="9629"/>
      </w:tblGrid>
      <w:tr>
        <w:trPr/>
        <w:tc>
          <w:tcPr>
            <w:tcW w:w="3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629" w:type="dxa"/>
            <w:tcBorders/>
            <w:vAlign w:val="center"/>
          </w:tcPr>
          <w:p>
            <w:pPr>
              <w:pStyle w:val="TableContents"/>
              <w:bidi w:val="0"/>
              <w:spacing w:before="0" w:after="283"/>
              <w:jc w:val="left"/>
              <w:rPr/>
            </w:pPr>
            <w:r>
              <w:rPr/>
              <w:t>the Conversion Rate in effect immediately after the close of business on the 10th Trading Day immediately following, and including, the Trading Day next succeeding the date such tender or exchange offer expires;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5"/>
        <w:gridCol w:w="155"/>
        <w:gridCol w:w="9647"/>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AC</w:t>
            </w:r>
          </w:p>
        </w:tc>
        <w:tc>
          <w:tcPr>
            <w:tcW w:w="155" w:type="dxa"/>
            <w:tcBorders/>
            <w:vAlign w:val="center"/>
          </w:tcPr>
          <w:p>
            <w:pPr>
              <w:pStyle w:val="TableContents"/>
              <w:bidi w:val="0"/>
              <w:spacing w:before="0" w:after="283"/>
              <w:jc w:val="left"/>
              <w:rPr/>
            </w:pPr>
            <w:r>
              <w:rPr/>
              <w:t>=</w:t>
            </w:r>
          </w:p>
        </w:tc>
        <w:tc>
          <w:tcPr>
            <w:tcW w:w="9647" w:type="dxa"/>
            <w:tcBorders/>
            <w:vAlign w:val="center"/>
          </w:tcPr>
          <w:p>
            <w:pPr>
              <w:pStyle w:val="TableContents"/>
              <w:bidi w:val="0"/>
              <w:spacing w:before="0" w:after="283"/>
              <w:jc w:val="left"/>
              <w:rPr/>
            </w:pPr>
            <w:r>
              <w:rPr/>
              <w:t>the aggregate value of all cash and any other consideration (as determined by the Company in good faith) paid or payable for shares of Common Stock purchased in such tender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both"/>
              <w:rPr/>
            </w:pPr>
            <w:r>
              <w:rPr/>
              <w:t>=</w:t>
            </w:r>
          </w:p>
        </w:tc>
        <w:tc>
          <w:tcPr>
            <w:tcW w:w="9572" w:type="dxa"/>
            <w:tcBorders/>
            <w:vAlign w:val="center"/>
          </w:tcPr>
          <w:p>
            <w:pPr>
              <w:pStyle w:val="TableContents"/>
              <w:bidi w:val="0"/>
              <w:spacing w:before="0" w:after="283"/>
              <w:jc w:val="both"/>
              <w:rPr/>
            </w:pPr>
            <w:r>
              <w:rPr/>
              <w:t>the number of shares of Common Stock outstanding immediately prior to the date such tender or exchange offer expires (prior to giving effect to the purchase of all shares of Common Stock accepted for purchase or exchange in such tender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2"/>
        <w:gridCol w:w="155"/>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OS’</w:t>
            </w:r>
          </w:p>
        </w:tc>
        <w:tc>
          <w:tcPr>
            <w:tcW w:w="155"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pPr>
            <w:r>
              <w:rPr/>
              <w:t>the number of shares of Common Stock outstanding immediately after the date such tender or exchange offer expires (after giving effect to the purchase of all shares of Common Stock accepted for purchase or exchange in such tender or exchange offer);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1"/>
        <w:gridCol w:w="155"/>
        <w:gridCol w:w="9691"/>
      </w:tblGrid>
      <w:tr>
        <w:trPr/>
        <w:tc>
          <w:tcPr>
            <w:tcW w:w="3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SP’</w:t>
            </w:r>
          </w:p>
        </w:tc>
        <w:tc>
          <w:tcPr>
            <w:tcW w:w="155" w:type="dxa"/>
            <w:tcBorders/>
            <w:vAlign w:val="center"/>
          </w:tcPr>
          <w:p>
            <w:pPr>
              <w:pStyle w:val="TableContents"/>
              <w:bidi w:val="0"/>
              <w:spacing w:before="0" w:after="283"/>
              <w:jc w:val="left"/>
              <w:rPr/>
            </w:pPr>
            <w:r>
              <w:rPr/>
              <w:t>=</w:t>
            </w:r>
          </w:p>
        </w:tc>
        <w:tc>
          <w:tcPr>
            <w:tcW w:w="9691" w:type="dxa"/>
            <w:tcBorders/>
            <w:vAlign w:val="center"/>
          </w:tcPr>
          <w:p>
            <w:pPr>
              <w:pStyle w:val="TableContents"/>
              <w:bidi w:val="0"/>
              <w:spacing w:before="0" w:after="283"/>
              <w:jc w:val="left"/>
              <w:rPr/>
            </w:pPr>
            <w:r>
              <w:rPr/>
              <w:t>the average of the Last Reported Sale Prices of the Common Stock over the 10 consecutive Trading Day period commencing on, and including, the Trading Day next succeeding the date such tender or exchange offer expires.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 of such Observation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one of its Subsidiaries is obligated to purchase shares of Common Stock pursuant to any such tender or exchange offer described in this Section 14.04(e)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this Section 14.04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Section 14.02(i)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addition to those adjustments required by clauses (a), (b), (c), (d) and (e) of this Section 14.04, and subject to applicable exchange listing rules, the Company from time to time may increase the Conversion Rate by any amount for a period of at least 20 Business Days if the Company determines that such increase would be in the Company’s best interest. In addition, subject to applicable exchange listing rules, the Company may (but is not required to) increase the Conversion Rate to avoid or diminish any income tax to holders of Common Stock or rights to purchase shares of Common Stock in connection with a dividend or distribution of shares of Common Stock (or rights to acquire shares of Common Stock) or similar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in this Article 14, the Conversion Rate shall not be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issuance of any shares of Common Stock at a price below the Conversion Price or otherwise, other than any such issuance described in clause (a), (b) or (c) of this 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issuance of any shares of Common Stock or options or rights to purchase those shares pursuant to any present or future employee, director or consultant benefit or incentive plan or program (including pursuant to any evergreen plan) of or assumed by the Company or any of the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issuance of any shares of the Common Stock pursuant to any option, warrant, right or exercisable, exchangeable or convertible security not described in clause (iii) of this subsection and outstanding as of the date the Notes were first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 a third-party tender offer by any party other than a tender offer by one or more of the Company’s Subsidiaries as described in clause (e) of this 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upon the repurchase of any shares of Common Stock pursuant to an open market share purchase program or other buy-back transaction, including structured or derivative transactions such as accelerated share repurchase transactions or similar forward derivatives, or other buy-back transaction, that is not a tender offer or exchange offer of the kind described under clause (e) of this 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solely for a change in the par value (or lack of par value)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upon a spin-off of the Company’s regenerative cell therapy platform, including the OrthoCellix NeoCart® technology for the treatment of knee articular cartilage defects, in connection with the Company’s previously announced intent to continue to explore alternatives for its regenerative cell therapy platform;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for accrued and unpaid interest,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 calculations and other determinations under this Article 14 shall be made by the Company and shall be made to the nearest one-ten thousandth (1/10,000th) of a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on the Conversion Date for any Notes (in the case of Physical Settlement), (iii) on each Trading Day of any Observation Period related to any conversion of Notes (in the case of Cash Settlement or Combination Settlement), (iv) February 15, 2034, (v) on any date on which the Company delivers a Notice of Redemption and (vi) on the effective date of any Fundamental Change and/or Make-Whole Fundamental Change, in each case, unless the adjustment has already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14.05.</w:t>
        <w:tab/>
        <w:t>   </w:t>
      </w:r>
      <w:r>
        <w:rPr>
          <w:rFonts w:ascii="Times New Roman;Times;Serif" w:hAnsi="Times New Roman;Times;Serif"/>
          <w:b w:val="false"/>
          <w:i/>
          <w:caps w:val="false"/>
          <w:smallCaps w:val="false"/>
          <w:sz w:val="20"/>
        </w:rPr>
        <w:t xml:space="preserve">Adjustments of Prices. </w:t>
      </w:r>
      <w:r>
        <w:rPr>
          <w:rFonts w:ascii="Times New Roman;Times;Serif" w:hAnsi="Times New Roman;Times;Serif"/>
          <w:b w:val="false"/>
          <w:i w:val="false"/>
          <w:caps w:val="false"/>
          <w:smallCaps w:val="false"/>
          <w:sz w:val="20"/>
        </w:rPr>
        <w:t>Whenever any provision of this Indenture requires the Company to calculate the Last Reported Sale Prices, the Daily VWAPs, the Daily Conversion Values or the Daily Settlement Amounts over a span of multiple days (including, without limitation, an Observation Period and the period, if any, for determining the Stock Price for purposes of a Make-Whole Fundamental Change or a Notice of Redemption), the Company shall, in good faith, make appropriate adjustments (without duplication in respect of any adjustment made pursuant to Section 14.04)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14.06.</w:t>
        <w:tab/>
        <w:t>   </w:t>
      </w:r>
      <w:r>
        <w:rPr>
          <w:rFonts w:ascii="Times New Roman;Times;Serif" w:hAnsi="Times New Roman;Times;Serif"/>
          <w:b w:val="false"/>
          <w:i/>
          <w:caps w:val="false"/>
          <w:smallCaps w:val="false"/>
          <w:sz w:val="20"/>
        </w:rPr>
        <w:t xml:space="preserve">Shares to Be Fully Paid. </w:t>
      </w:r>
      <w:r>
        <w:rPr>
          <w:rFonts w:ascii="Times New Roman;Times;Serif" w:hAnsi="Times New Roman;Times;Serif"/>
          <w:b w:val="false"/>
          <w:i w:val="false"/>
          <w:caps w:val="false"/>
          <w:smallCaps w:val="false"/>
          <w:sz w:val="20"/>
        </w:rPr>
        <w:t>The Company shall at all times provide free from preemptive rights, out of its authorized but unissued shares or shares held in treasury, a number of shares of Common Stock sufficient to provide for conversion of the Notes from time to time as such Notes are presented for conversion (assuming delivery of the maximum number of Additional Shares pursuant to Section 14.03 and that at the time of computation of such number of shares, all such Notes would be converted by a single Holder and that Physical Settlement were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14.07.</w:t>
        <w:tab/>
        <w:t>   </w:t>
      </w:r>
      <w:r>
        <w:rPr>
          <w:rFonts w:ascii="Times New Roman;Times;Serif" w:hAnsi="Times New Roman;Times;Serif"/>
          <w:b w:val="false"/>
          <w:i/>
          <w:caps w:val="false"/>
          <w:smallCaps w:val="false"/>
          <w:sz w:val="20"/>
        </w:rPr>
        <w:t>Effect of Recapitalizations, Reclassifications and Changes of the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recapitalization, reclassification or change of the Common Stock (other than a change to par value, or from par value to no par value, or changes resulting from a subdivision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consolidation, merger, combination or similar transaction involving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sale, lease or other transfer to a third party of the consolidated assets of the Company and the Company’s Subsidiaries substantially as an entirety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statutory share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 result of which the Common Stock would be converted into, or exchanged for, stock, other securities, other property or assets (including cash or any combination thereof) (any such event, a “</w:t>
      </w:r>
      <w:r>
        <w:rPr>
          <w:rFonts w:ascii="Times New Roman;Times;Serif" w:hAnsi="Times New Roman;Times;Serif"/>
          <w:b/>
          <w:i w:val="false"/>
          <w:caps w:val="false"/>
          <w:smallCaps w:val="false"/>
          <w:sz w:val="20"/>
        </w:rPr>
        <w:t>Share Exchange Event”</w:t>
      </w:r>
      <w:r>
        <w:rPr>
          <w:rFonts w:ascii="Times New Roman;Times;Serif" w:hAnsi="Times New Roman;Times;Serif"/>
          <w:b w:val="false"/>
          <w:i w:val="false"/>
          <w:caps w:val="false"/>
          <w:smallCaps w:val="false"/>
          <w:sz w:val="20"/>
        </w:rPr>
        <w:t>), then,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Share Exchange Event would have owned or been entitled to receive (the “</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with each “</w:t>
      </w:r>
      <w:r>
        <w:rPr>
          <w:rFonts w:ascii="Times New Roman;Times;Serif" w:hAnsi="Times New Roman;Times;Serif"/>
          <w:b/>
          <w:i w:val="false"/>
          <w:caps w:val="false"/>
          <w:smallCaps w:val="false"/>
          <w:sz w:val="20"/>
        </w:rPr>
        <w:t xml:space="preserve">unit of Reference Property” </w:t>
      </w:r>
      <w:r>
        <w:rPr>
          <w:rFonts w:ascii="Times New Roman;Times;Serif" w:hAnsi="Times New Roman;Times;Serif"/>
          <w:b w:val="false"/>
          <w:i w:val="false"/>
          <w:caps w:val="false"/>
          <w:smallCaps w:val="false"/>
          <w:sz w:val="20"/>
        </w:rPr>
        <w:t xml:space="preserve">meaning the kind and amount of Reference Property that a holder of one share of Common Stock is entitled to receive) upon such Share Exchange Event and, prior to or at the effective time of such Share Exchange Event, the Company or the successor or acquiring Person, as the case may be, shall execute with the Trustee a supplemental indenture permitted under Section 10.01(g) providing for such change in the right to convert each $1,000 principal amount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at and after the effective time of the Share Exchange Event (A) the Company or the successor or acquiring Person, as the case may be,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 cash, (II) the number of shares of Common Stock, if any, that the Company would have been required to deliver upon conversion of the Notes in accordance with Section 14.02 shall instead be deliverable in the amount and type of Reference Property that a holder of that number of shares of Common Stock would have received in such Share Exchange Event and (III) the Daily VWAP shall be calculated based on the value of a unit of Reference Property that a holder of one share of Common Stock would have received in such Share Exchange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Share Exchange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The Company shall notify Holders, the Trustee and the Conversion Agent (if other than the Trustee) in writing of such weighted average as soon as practicable after such determination is made. If the holders of the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the price paid per share of Common Stock in such Share Exchange Event and (B) the Company shall satisfy the Conversion Obligation by paying cash to converting Holders on the second Business Day immediately following the relevant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Property in respect of any such Share Exchange Event includes, in whole or in part, shares of Common Equity or American depositary receipts (or other interests) in respect thereof, such supplemental indenture described in the second immediately preceding paragraph shall provide for anti-dilution and other adjustments that shall be as nearly equivalent as is possible to the adjustments provided for in this Article 14 with respect to the portion of the Reference Property consisting of such Common Equity or American depositary receipts (or other interests) in respect thereof. If, in the case of any Share Exchange Event, the Reference Property includes shares of stock, securities or other property or assets (including any combination thereof), other than cash and/or cash equivalents, of a Person other than the Company or the successor or acquiring Person, as the case may be, in such Share Exchange Event, then such supplemental indenture shall also be executed by such other Person, if such Person is an Affiliate of the Company or the successor or acquiring Person, and shall contain such additional provisions to protect the interests of the Holders as the Company shall in good faith reasonably consider necessary by reason of the foregoing, including the provisions providing for the purchase rights set forth in Article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Notes become convertible into Reference Property, the Company shall notify the Trustee and the Conversion Agent (if other than the Trustee) and issue a press release containing the relevant information, disclose the relevant information in a Current Report on Form 8-K or post such information on the Company’s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not become a party to any Share Exchange Event unless its terms are consistent with this Section 14.07. None of the foregoing provisions shall affect the right of a Holder to convert its Notes into cash, shares of Common Stock or a combination of cash and shares of Common Stock, as applicable, as set forth in Section 14.01 and Section 14.02 prior to the effective date of such Share Exchange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above provisions of this Section shall similarly apply to successive Share Exchange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14.08.</w:t>
        <w:tab/>
        <w:t>   </w:t>
      </w:r>
      <w:r>
        <w:rPr>
          <w:rFonts w:ascii="Times New Roman;Times;Serif" w:hAnsi="Times New Roman;Times;Serif"/>
          <w:b w:val="false"/>
          <w:i/>
          <w:caps w:val="false"/>
          <w:smallCaps w:val="false"/>
          <w:sz w:val="20"/>
        </w:rPr>
        <w:t>Certain Covenants. (a)</w:t>
      </w:r>
      <w:r>
        <w:rPr>
          <w:rFonts w:ascii="Times New Roman;Times;Serif" w:hAnsi="Times New Roman;Times;Serif"/>
          <w:b w:val="false"/>
          <w:i w:val="false"/>
          <w:caps w:val="false"/>
          <w:smallCaps w:val="false"/>
          <w:sz w:val="20"/>
        </w:rPr>
        <w:t> The Company covenants that all shares of Common Stock issued upon conversion of Notes will be fully paid and non-assessable by the Company and free from all taxes, liens and charges with respect to the issue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14.09.</w:t>
        <w:tab/>
        <w:t>   </w:t>
      </w:r>
      <w:r>
        <w:rPr>
          <w:rFonts w:ascii="Times New Roman;Times;Serif" w:hAnsi="Times New Roman;Times;Serif"/>
          <w:b w:val="false"/>
          <w:i/>
          <w:caps w:val="false"/>
          <w:smallCaps w:val="false"/>
          <w:sz w:val="20"/>
        </w:rPr>
        <w:t xml:space="preserve">Responsibility of Trustee. </w:t>
      </w:r>
      <w:r>
        <w:rPr>
          <w:rFonts w:ascii="Times New Roman;Times;Serif" w:hAnsi="Times New Roman;Times;Serif"/>
          <w:b w:val="false"/>
          <w:i w:val="false"/>
          <w:caps w:val="false"/>
          <w:smallCaps w:val="false"/>
          <w:sz w:val="20"/>
        </w:rPr>
        <w:t>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14.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until the Company has delivered to the Trustee and the Conversion Agent the notices referred to in Section 14.01(b), on which notices the Trustee and the Conversion Agent may conclusively rely, and the Company agrees to deliver such notices to the Trustee and the Conversion Agent immediately after the occurrence of any such event or at such other times as shall be provided for in Section 14.01(b).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14.10.</w:t>
        <w:tab/>
        <w:t>   </w:t>
      </w:r>
      <w:r>
        <w:rPr>
          <w:rFonts w:ascii="Times New Roman;Times;Serif" w:hAnsi="Times New Roman;Times;Serif"/>
          <w:b w:val="false"/>
          <w:i/>
          <w:caps w:val="false"/>
          <w:smallCaps w:val="false"/>
          <w:sz w:val="20"/>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14.11.</w:t>
        <w:tab/>
        <w:t>   </w:t>
      </w:r>
      <w:r>
        <w:rPr>
          <w:rFonts w:ascii="Times New Roman;Times;Serif" w:hAnsi="Times New Roman;Times;Serif"/>
          <w:b w:val="false"/>
          <w:i/>
          <w:caps w:val="false"/>
          <w:smallCaps w:val="false"/>
          <w:sz w:val="20"/>
        </w:rPr>
        <w:t xml:space="preserve">Stockholder Rights Plans. </w:t>
      </w:r>
      <w:r>
        <w:rPr>
          <w:rFonts w:ascii="Times New Roman;Times;Serif" w:hAnsi="Times New Roman;Times;Serif"/>
          <w:b w:val="false"/>
          <w:i w:val="false"/>
          <w:caps w:val="false"/>
          <w:smallCaps w:val="false"/>
          <w:sz w:val="20"/>
        </w:rPr>
        <w:t>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14.12.</w:t>
        <w:tab/>
        <w:t>   </w:t>
      </w:r>
      <w:r>
        <w:rPr>
          <w:rFonts w:ascii="Times New Roman;Times;Serif" w:hAnsi="Times New Roman;Times;Serif"/>
          <w:b w:val="false"/>
          <w:i/>
          <w:caps w:val="false"/>
          <w:smallCaps w:val="false"/>
          <w:sz w:val="20"/>
        </w:rPr>
        <w:t>Exchange in Lieu of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a Holder surrenders any Notes for conversion, the Company may, at its election (an “</w:t>
      </w:r>
      <w:r>
        <w:rPr>
          <w:rFonts w:ascii="Times New Roman;Times;Serif" w:hAnsi="Times New Roman;Times;Serif"/>
          <w:b/>
          <w:i w:val="false"/>
          <w:caps w:val="false"/>
          <w:smallCaps w:val="false"/>
          <w:sz w:val="20"/>
        </w:rPr>
        <w:t>Exchange Election”</w:t>
      </w:r>
      <w:r>
        <w:rPr>
          <w:rFonts w:ascii="Times New Roman;Times;Serif" w:hAnsi="Times New Roman;Times;Serif"/>
          <w:b w:val="false"/>
          <w:i w:val="false"/>
          <w:caps w:val="false"/>
          <w:smallCaps w:val="false"/>
          <w:sz w:val="20"/>
        </w:rPr>
        <w:t>), direct the Conversion Agent to deliver, on or prior to the Trading Day immediately following the Conversion Date, such Notes to one or more financial institutions designated by the Company (each, a “</w:t>
      </w:r>
      <w:r>
        <w:rPr>
          <w:rFonts w:ascii="Times New Roman;Times;Serif" w:hAnsi="Times New Roman;Times;Serif"/>
          <w:b/>
          <w:i w:val="false"/>
          <w:caps w:val="false"/>
          <w:smallCaps w:val="false"/>
          <w:sz w:val="20"/>
        </w:rPr>
        <w:t>Designated Financial Institution”</w:t>
      </w:r>
      <w:r>
        <w:rPr>
          <w:rFonts w:ascii="Times New Roman;Times;Serif" w:hAnsi="Times New Roman;Times;Serif"/>
          <w:b w:val="false"/>
          <w:i w:val="false"/>
          <w:caps w:val="false"/>
          <w:smallCaps w:val="false"/>
          <w:sz w:val="20"/>
        </w:rPr>
        <w:t>) for exchange in lieu of conversion. In order to accept any Notes surrendered for conversion, the Designated Financial Institution(s) must agree to timely pay and/or deliver, as the case may be, in exchange for such Notes, the cash, shares of Common Stock or combination thereof that would otherwise be due upon conversion pursuant to Section 14.02 or such other amount agreed to by the Holder and the Designated Financial Institution(s) (the “</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If the Company makes an Exchange Election, the Company shall, by the close of business on the Trading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Conversion Consideration to be paid and/or delivered,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Notes delivered to the Designated Financial Institution(s) shall remain outstanding, subject to the applicable procedures of the Depositary. If the Designated Financial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and at the time, required pursuant to this Indenture as if the Company had not made the Exchange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Company’s designation of any Designated Financial Institution(s) to which the Notes may be submitted for exchange does not require such Designated Financial Institution(s) to accept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15</w:t>
        <w:br/>
        <w:t>REPURCHASE OF NOTES AT OPTION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15.01.</w:t>
        <w:tab/>
        <w:t>   </w:t>
      </w:r>
      <w:r>
        <w:rPr>
          <w:rFonts w:ascii="Times New Roman;Times;Serif" w:hAnsi="Times New Roman;Times;Serif"/>
          <w:b w:val="false"/>
          <w:i/>
          <w:caps w:val="false"/>
          <w:smallCaps w:val="false"/>
          <w:sz w:val="20"/>
        </w:rPr>
        <w:t>Repurchase at Option of Holders on May 15, 2032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May 15, 2032 (the “</w:t>
      </w:r>
      <w:r>
        <w:rPr>
          <w:rFonts w:ascii="Times New Roman;Times;Serif" w:hAnsi="Times New Roman;Times;Serif"/>
          <w:b/>
          <w:i w:val="false"/>
          <w:caps w:val="false"/>
          <w:smallCaps w:val="false"/>
          <w:sz w:val="20"/>
        </w:rPr>
        <w:t>Specified Repurchase Date</w:t>
      </w:r>
      <w:r>
        <w:rPr>
          <w:rFonts w:ascii="Times New Roman;Times;Serif" w:hAnsi="Times New Roman;Times;Serif"/>
          <w:b w:val="false"/>
          <w:i w:val="false"/>
          <w:caps w:val="false"/>
          <w:smallCaps w:val="false"/>
          <w:sz w:val="20"/>
        </w:rPr>
        <w:t>”), each Holder shall have the right, at such Holder’s option, to require the Company to repurchase for cash all of such Holder’s Notes (the “</w:t>
      </w:r>
      <w:r>
        <w:rPr>
          <w:rFonts w:ascii="Times New Roman;Times;Serif" w:hAnsi="Times New Roman;Times;Serif"/>
          <w:b/>
          <w:i w:val="false"/>
          <w:caps w:val="false"/>
          <w:smallCaps w:val="false"/>
          <w:sz w:val="20"/>
        </w:rPr>
        <w:t>Specified Repurchase</w:t>
      </w:r>
      <w:r>
        <w:rPr>
          <w:rFonts w:ascii="Times New Roman;Times;Serif" w:hAnsi="Times New Roman;Times;Serif"/>
          <w:b w:val="false"/>
          <w:i w:val="false"/>
          <w:caps w:val="false"/>
          <w:smallCaps w:val="false"/>
          <w:sz w:val="20"/>
        </w:rPr>
        <w:t>”), or any portion of the principal amount thereof properly surrendered and not validly withdrawn pursuant to Section 15.03 that is equal to $1,000 or an integral multiple of $1,000, at a repurchase price equal to 100% of the principal amount thereof, plus accrued and unpaid interest thereon to, but excluding, the Specified Repurchase Date (the “</w:t>
      </w:r>
      <w:r>
        <w:rPr>
          <w:rFonts w:ascii="Times New Roman;Times;Serif" w:hAnsi="Times New Roman;Times;Serif"/>
          <w:b/>
          <w:i w:val="false"/>
          <w:caps w:val="false"/>
          <w:smallCaps w:val="false"/>
          <w:sz w:val="20"/>
        </w:rPr>
        <w:t>Specified Repurchase Date Repurchase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Repurchases of Notes under this Section 15.01 shall be made, at the option of the Holder thereof,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to the Paying Agent by a Holder of a duly completed notice (the “</w:t>
      </w:r>
      <w:r>
        <w:rPr>
          <w:rFonts w:ascii="Times New Roman;Times;Serif" w:hAnsi="Times New Roman;Times;Serif"/>
          <w:b/>
          <w:i w:val="false"/>
          <w:caps w:val="false"/>
          <w:smallCaps w:val="false"/>
          <w:sz w:val="20"/>
        </w:rPr>
        <w:t>Specified Repurchase Date Repurchase Notice</w:t>
      </w:r>
      <w:r>
        <w:rPr>
          <w:rFonts w:ascii="Times New Roman;Times;Serif" w:hAnsi="Times New Roman;Times;Serif"/>
          <w:b w:val="false"/>
          <w:i w:val="false"/>
          <w:caps w:val="false"/>
          <w:smallCaps w:val="false"/>
          <w:sz w:val="20"/>
        </w:rPr>
        <w:t>”) in the form set forth in Attachment 3 to the Form of Note attached hereto as Exhibit A, if the Notes are Physical Notes, or in compliance with the Depositary’s applicable procedures for surrendering interests in Global Notes, if the Notes are Global Notes, in each case, on or before the close of business on the Business Day immediately preceding the Specified Repurchase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delivery of the Notes, if the Notes are Physical Notes, to the Paying Agent at any time after delivery of the Specified Repurchase Date Repurchase Notice (together with all necessary endorsements for transfer) at the Corporate Trust Office of the Paying Agent, or book-entry transfer of the Notes, if the Notes are Global Notes, in compliance with the applicable procedures of the Depositary, in each case, such delivery or transfer being a condition to receipt by the Holder of the Specified Repurchase Date Repurchase Price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Specified Repurchase Date Repurchase Notice in respect of any Physical Notes to be repurchased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certificate numbers of the Notes to be delivered for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portion of the principal amount of Notes to be repurchased, which must be $1,000 or an integral multiple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the Notes are to be repurchased by the Company pursuant to the applicable provisions of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Notes are Global Notes, to exercise the Specified Repurchase right, Holders must surrender their Notes in accordance with the Depositary’s applicable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any Holder delivering to the Paying Agent the Specified Repurchase Date Repurchase Notice contemplated by this Section 15.01 shall have the right to withdraw, in whole or in part, such Specified Repurchase Date Repurchase Notice at any time prior to the close of business on the Business Day immediately preceding the Specified Repurchase Date by delivery of a written notice of withdrawal to the Paying Agent in accordance with Section 15.03.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shall promptly notify the Company of the receipt by it of any Specified Repurchase Date Repurchase Notice or written notice of withdrawal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before the 20th Business Day prior to the Specified Repurchase Date, the Company shall provide to all Holders and the Trustee, and the Paying Agent (if other than the Trustee) the Specified Repurchase Date Repurchase Notice of the Specified Repurchase Date and of the resulting repurchase right at the option of the Holders 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such information on the Company’s website or through such other public medium as the Company may use at that time. Each Specified Repurchase Date Repurchase Notice shall specify: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last date on which a Holder may exercise the repurchase right pursuant to this Section 15.01;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Specified Repurchase Date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Specified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name and address of the Paying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procedures that Holders must follow to require the Company to repurchase their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of the Company to give the foregoing notice and no defect therein shall limit the Holders’ repurchase rights or affect the validity of the proceedings for the repurchase of the Notes pursuant to this Section 15.01.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written request given at least two (2) Business Days before such notice is to be sent (or such shorter period as shall be acceptable to the Trustee), the Trustee shall give such notice in the Company’s name and at the Company’s expense; provided, however, that, in all cases, the text of such Specified Repurchase Date Repurchase Notice shall be prepared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Notes may be repurchased by the Company on the Specified Repurchase Date if the principal amount of the Notes has been accelerated, and such acceleration has not been rescinded, on or prior to such date (except in the case of an acceleration resulting from a Default by the Company in the payment of the Specified Repurchase Date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Specified Repurchase Date Repurchase Price with respect to such Notes), or any instructions for book-entry transfer of the Notes in compliance with the applicable procedures of the Depositary shall be deemed to have been cancelled, and, upon such return or cancellation, as the case may be, the Specified Repurchase Date Repurchase Notice with respect thereto shall be deemed to have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15.02.</w:t>
        <w:tab/>
        <w:t>   </w:t>
      </w:r>
      <w:r>
        <w:rPr>
          <w:rFonts w:ascii="Times New Roman;Times;Serif" w:hAnsi="Times New Roman;Times;Serif"/>
          <w:b w:val="false"/>
          <w:i/>
          <w:caps w:val="false"/>
          <w:smallCaps w:val="false"/>
          <w:sz w:val="20"/>
        </w:rPr>
        <w:t>Repurchase at Option of Holders Upon a Fundamental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15.02(f), if a Fundamental Change occurs at any time, each Holder shall have the right, at such Holder’s option, to require the Company to repurchase for cash all of such Holder’s Notes, or any portion of the principal amount thereof properly surrendered and not validly withdrawn pursuant to Section 15.03 that is equal to $1,000 or an integral multiple of $1,000, on the date (the “</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xml:space="preserve">”) specified by the Company that is not less than 20 Business Days or more than 35 Business Days following the date of the Fundamental Change Company Notice at a repurchase price equal to 100% of the principal amount thereof,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accrued and unpaid interest thereon to, but excluding, the Fundamental Change Repurchase Date (the “</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the close of business as of such Regular Record Date on, or at the Company’s election, before, such Interest Payment Date, and the Fundamental Change Repurchase Price shall be equal to 100% of the principal amount of Notes to be repurchased pursuant to this Article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Repurchases of Notes under this Section 15.02 shall be made, at the option of the Holder thereof,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to the Paying Agent by a Holder of a duly completed notice (the “</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in the form set forth in Attachment 2 to the Form of Note attached hereto as Exhibit A, if the Notes are Physical Notes, or in compliance with the Depositary’s applicable procedures for surrendering interests in Global Notes, if the Notes are Global Notes, in each case, on or before the close of business on the Business Day immediately preceding the Fundamental Change Repurchase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of the Depositary, in each case, such delivery or transfer being a condition to receipt by the Holder of the Fundamental Change Repurchase Price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Fundamental Change Repurchase Notice in respect of any Physical Notes to be repurchased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certificate numbers of the Notes to be delivered for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portion of the principal amount of Notes to be repurchased, which must be $1,000 or an integral multiple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the Notes are to be repurchased by the Company pursuant to the applicable provisions of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Notes are Global Notes, to exercise the Fundamental Change repurchase right, Holders must surrender their Notes in accordance with the Depositary’s applicable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shall promptly notify the Company of the receipt by it of any Fundamental Change Repurchase Notice or written notice of withdrawal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before the 20th Business Day after the occurrence of the effective date of a Fundamental Change, the Company shall provide to all Holders and the Trustee, the Conversion Agent (if other than the Trustee) and the Paying Agent (if other than the Trustee) a notice (the “</w:t>
      </w:r>
      <w:r>
        <w:rPr>
          <w:rFonts w:ascii="Times New Roman;Times;Serif" w:hAnsi="Times New Roman;Times;Serif"/>
          <w:b/>
          <w:i w:val="false"/>
          <w:caps w:val="false"/>
          <w:smallCaps w:val="false"/>
          <w:sz w:val="20"/>
        </w:rPr>
        <w:t>Fundamental Change Company Notice</w:t>
      </w:r>
      <w:r>
        <w:rPr>
          <w:rFonts w:ascii="Times New Roman;Times;Serif" w:hAnsi="Times New Roman;Times;Serif"/>
          <w:b w:val="false"/>
          <w:i w:val="false"/>
          <w:caps w:val="false"/>
          <w:smallCaps w:val="false"/>
          <w:sz w:val="20"/>
        </w:rPr>
        <w:t>”) of the occurrence of the effective date of the Fundamental Change and of the resulting repurchase right at the option of the Holders 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such information on the Company’s website or through such other public medium as the Company may use at that time. Each Fundamental Change Company Notice shall specify: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events causing the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last date on which a Holder may exercise the repurchase right pursuant to this Section 15.02;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Fundamental Change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Paying Agent and the Conversion Agent,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applicable, the Conversion Rate and any adjustments to the Conversion Rate as a result of the Fundamental Change (or related Make-Whole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the Notes with respect to which a Fundamental Change Repurchase Notice has been delivered by a Holder may be converted only if the Holder withdraws the Fundamental Change Repurchase Notice in accordance with the terms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procedures that Holders must follow to require the Company to repurchase their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of the Company to give the foregoing notices and no defect therein shall limit the Holders’ repurchase rights or affect the validity of the proceedings for the repurchase of the Notes pursuant to this Section 15.02.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written request given at least two (2) Business Days before such notice is to be sent (or such shorter period as shall be acceptable to the Trustee), the Trustee shall give such notice in the Company’s name and at the Company’s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all cases, the text of such Fundamental Change Company Notice shall be prepared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in this Section 15.02, the Company shall not be required to send a Fundamental Change Company Notice, or offer to repurchase or repurchase any Notes, as set forth in this Article 15, in connection with a Fundamental Change occurring pursuant to clause (b)(A) or (B) (or pursuant to clause (a) that also constitutes a Fundamental Change occurring pursuant to clause (b)(A) or (B)) of the definition thereof, if: (i) such Fundamental Change constitutes a Share Exchange Event whose Reference Property consists entirely of cash in U.S. dollars; (ii) immediately after such Fundamental Change, the Notes become convertible (pursuant to Section 14.07 and, if applicable, Section 14.03) into consideration that consists solely of U.S. dollars in an amount per $1,000 principal amount of Notes that equals or exceeds the Fundamental Change Repurchase Price per $1,000 principal amount of Notes (calculated assuming that the same includes the maximum amount of accrued but unpaid interest payable as part of the Fundamental Change Repurchase Price for such Fundamental Change); and (iii) the Company timely sends the notice relating to the Make-Whole Fundamental Change associated with such Fundamental Change required pursuant to Section 14.03. Any Fundamental Change with respect to which, in accordance with the provisions described in this Section 15.02(f), the Company is not required to offer to repurchase any Notes is referred to as herein as an “</w:t>
      </w:r>
      <w:r>
        <w:rPr>
          <w:rFonts w:ascii="Times New Roman;Times;Serif" w:hAnsi="Times New Roman;Times;Serif"/>
          <w:b/>
          <w:i w:val="false"/>
          <w:caps w:val="false"/>
          <w:smallCaps w:val="false"/>
          <w:sz w:val="20"/>
        </w:rPr>
        <w:t>Exempted Fundamental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15.03.</w:t>
        <w:tab/>
        <w:t>   </w:t>
      </w:r>
      <w:r>
        <w:rPr>
          <w:rFonts w:ascii="Times New Roman;Times;Serif" w:hAnsi="Times New Roman;Times;Serif"/>
          <w:b w:val="false"/>
          <w:i/>
          <w:caps w:val="false"/>
          <w:smallCaps w:val="false"/>
          <w:sz w:val="20"/>
        </w:rPr>
        <w:t>Withdrawal of Fundamental Change Repurchase Notice or Specified Repurchase Date Repurchase Notice. (a)</w:t>
      </w:r>
      <w:r>
        <w:rPr>
          <w:rFonts w:ascii="Times New Roman;Times;Serif" w:hAnsi="Times New Roman;Times;Serif"/>
          <w:b w:val="false"/>
          <w:i w:val="false"/>
          <w:caps w:val="false"/>
          <w:smallCaps w:val="false"/>
          <w:sz w:val="20"/>
        </w:rPr>
        <w:t> A Fundamental Change Repurchase Notice or Specified Repurchase Date Repurchase Notice may be withdrawn (in whole or in part) in respect of Physical Notes by means of a written notice of withdrawal delivered to the Corporate Trust Office of the Paying Agent in accordance with this Section 15.03 at any time prior to the close of business on the Business Day immediately preceding the Fundamental Change Repurchase Date or the Specified Repurchase Date, as applicable, specifying: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amount of the Notes with respect to which such notice of withdrawal is being submitted, which must be $1,000 or an integral multiple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certificate number of the Note in respect of which such notice of withdrawal is being submitted,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principal amount, if any, of such Note that remains subject to the original Fundamental Change Repurchase Notice or Specified Repurchase Date Repurchase Notice, as applicable, which portion must be in principal amounts of $1,000 or an integral multiple of $1,000;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Notes are Global Notes, Holders may withdraw their Notes subject to repurchase at any time prior to the close of business on the Business Day immediately preceding the Fundamental Change Repurchase Date or the Specified Repurchase Date, as applicable, in accordance with applicable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15.04.</w:t>
        <w:tab/>
        <w:t>   </w:t>
      </w:r>
      <w:r>
        <w:rPr>
          <w:rFonts w:ascii="Times New Roman;Times;Serif" w:hAnsi="Times New Roman;Times;Serif"/>
          <w:b w:val="false"/>
          <w:i/>
          <w:caps w:val="false"/>
          <w:smallCaps w:val="false"/>
          <w:sz w:val="20"/>
        </w:rPr>
        <w:t>Deposit of Fundamental Change Repurchase Price and Specified Repurchase Date Repurchase Price. (a)</w:t>
      </w:r>
      <w:r>
        <w:rPr>
          <w:rFonts w:ascii="Times New Roman;Times;Serif" w:hAnsi="Times New Roman;Times;Serif"/>
          <w:b w:val="false"/>
          <w:i w:val="false"/>
          <w:caps w:val="false"/>
          <w:smallCaps w:val="false"/>
          <w:sz w:val="20"/>
        </w:rPr>
        <w:t>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or Specified Repurchase Date, as applicable, an amount of money sufficient to repurchase all of the Notes to be repurchased at the appropriate Fundamental Change Repurchase Price or Specified Repurchase Date Repurchase Price, as applicable.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or the Specified Repurchase Date, as applicable) will be made on the later of (i) the Fundamental Change Repurchase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the Holder has satisfied the conditions in Section 15.02) or the Specified Repurchase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the Holder has satisfied the conditions in Section 15.01)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 or the Specified Repurchase Date Repurchase Price,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by 11:00 a.m.  New York City time, on the Fundamental Change Repurchase Date or Specified Repurchase Date, as applicable, the Trustee (or other Paying Agent appointed by the Company) holds money sufficient to pay the Fundamental Change Repurchase Price or Specified Repurchase Date Repurchase Price (and, to the extent not included in the Fundamental Change Repurchase Price or Specified Repurchase Date Repurchase Price, accrued and unpaid interest, if applicable) of the Notes to be repurchased on such Fundamental Change Repurchase Date or Specified Repurchase Date, as applicable, then, with respect to the Notes that have been properly surrendered for repurchase and have not been validly withdrawn, (i) such Notes will cease to be outstanding, (ii) interest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 or Specified Repurchase Date Repurchase Price, as applicable, and, to the extent not included in the Fundamental Change Repurchase Price or Specified Repurchase Date Repurchase Price, as applicable, accrued and unpaid interest,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surrender of a Note that is to be repurchased in part pursuant to Section 15.01 or Section 15.02, as applicable, the Company shall execute and the Trustee shall authenticate and deliver to the Holder a new Note in an authorized denomination equal in principal amount to the unrepurchased portion of the Note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15.05.</w:t>
        <w:tab/>
        <w:t>   </w:t>
      </w:r>
      <w:r>
        <w:rPr>
          <w:rFonts w:ascii="Times New Roman;Times;Serif" w:hAnsi="Times New Roman;Times;Serif"/>
          <w:b w:val="false"/>
          <w:i/>
          <w:caps w:val="false"/>
          <w:smallCaps w:val="false"/>
          <w:sz w:val="20"/>
        </w:rPr>
        <w:t>Covenant to Comply with Applicable Laws Upon Repurchase of Notes</w:t>
      </w:r>
      <w:r>
        <w:rPr>
          <w:rFonts w:ascii="Times New Roman;Times;Serif" w:hAnsi="Times New Roman;Times;Serif"/>
          <w:b w:val="false"/>
          <w:i w:val="false"/>
          <w:caps w:val="false"/>
          <w:smallCaps w:val="false"/>
          <w:sz w:val="20"/>
        </w:rPr>
        <w:t>. In connection with any repurchase offer on the Specified Repurchase Date pursuant Section 15.01 or upon a Fundamental Change pursuant to Section 15.02, the Company will, if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comply with the tender offer rules under the Exchange Act that may then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a Schedule TO or any other required schedule under the Exchange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otherwise comply in all material respects with all federal and state securities laws in connection with any offer by the Company to repurchase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so as to permit the rights and obligations under this Article 15 to be exercised in the time and in the manner specified in this Article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provisions of any securities laws or regulations enacted or adopted after the date of this Indenture conflict with the provisions of this Indenture relating to the Company’s obligations to repurchase the Notes upon a Fundamental Change or on the Specified Repurchase Date, the Company shall comply with the applicable securities laws and regulations and shall not be deemed to have breached its obligations under such provisions of this Indenture by virtue of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16</w:t>
        <w:br/>
        <w:t>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16.01.</w:t>
        <w:tab/>
        <w:t>   </w:t>
      </w:r>
      <w:r>
        <w:rPr>
          <w:rFonts w:ascii="Times New Roman;Times;Serif" w:hAnsi="Times New Roman;Times;Serif"/>
          <w:b w:val="false"/>
          <w:i/>
          <w:caps w:val="false"/>
          <w:smallCaps w:val="false"/>
          <w:sz w:val="20"/>
        </w:rPr>
        <w:t>Optional Redemption</w:t>
      </w:r>
      <w:r>
        <w:rPr>
          <w:rFonts w:ascii="Times New Roman;Times;Serif" w:hAnsi="Times New Roman;Times;Serif"/>
          <w:b w:val="false"/>
          <w:i w:val="false"/>
          <w:caps w:val="false"/>
          <w:smallCaps w:val="false"/>
          <w:sz w:val="20"/>
        </w:rPr>
        <w:t>. No sinking fund is provided for the Notes. The Notes shall not be redeemable by the Company prior to May 15, 2029. On or after May 15, 2029, and prior to the 41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Scheduled Trading Day immediately preceding the Maturity Date, the Company may redeem (an “</w:t>
      </w:r>
      <w:r>
        <w:rPr>
          <w:rFonts w:ascii="Times New Roman;Times;Serif" w:hAnsi="Times New Roman;Times;Serif"/>
          <w:b/>
          <w:i w:val="false"/>
          <w:caps w:val="false"/>
          <w:smallCaps w:val="false"/>
          <w:sz w:val="20"/>
        </w:rPr>
        <w:t>Optional Redemption</w:t>
      </w:r>
      <w:r>
        <w:rPr>
          <w:rFonts w:ascii="Times New Roman;Times;Serif" w:hAnsi="Times New Roman;Times;Serif"/>
          <w:b w:val="false"/>
          <w:i w:val="false"/>
          <w:caps w:val="false"/>
          <w:smallCaps w:val="false"/>
          <w:sz w:val="20"/>
        </w:rPr>
        <w:t>”) for cash all or any portion of the Notes (subject to the Partial Redemption Limitation), at the Redemption Price,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Notice of Redemption in accordance with Section 16.02.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16.02.</w:t>
        <w:tab/>
        <w:t>   </w:t>
      </w:r>
      <w:r>
        <w:rPr>
          <w:rFonts w:ascii="Times New Roman;Times;Serif" w:hAnsi="Times New Roman;Times;Serif"/>
          <w:b w:val="false"/>
          <w:i/>
          <w:caps w:val="false"/>
          <w:smallCaps w:val="false"/>
          <w:sz w:val="20"/>
        </w:rPr>
        <w:t>Notice of Optional Redemption; Selection of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the Company exercises its Optional Redemption right to redeem all or, as the case may be, any part of the Notes pursuant to Section 16.01, it shall fix a date for redemption (each, a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and it or, at its written request received by the Trustee not less than five (5) Business Days prior to the date such Notice of Redemption is to be sent (or such shorter period of time as may be acceptable to the Trustee), the Trustee, in the name of and at the expense of the Company, shall deliver or cause to be delivered a written notice of such Optional Redemption (a “</w:t>
      </w:r>
      <w:r>
        <w:rPr>
          <w:rFonts w:ascii="Times New Roman;Times;Serif" w:hAnsi="Times New Roman;Times;Serif"/>
          <w:b/>
          <w:i w:val="false"/>
          <w:caps w:val="false"/>
          <w:smallCaps w:val="false"/>
          <w:sz w:val="20"/>
        </w:rPr>
        <w:t>Notice of Redemption”</w:t>
      </w:r>
      <w:r>
        <w:rPr>
          <w:rFonts w:ascii="Times New Roman;Times;Serif" w:hAnsi="Times New Roman;Times;Serif"/>
          <w:b w:val="false"/>
          <w:i w:val="false"/>
          <w:caps w:val="false"/>
          <w:smallCaps w:val="false"/>
          <w:sz w:val="20"/>
        </w:rPr>
        <w:t xml:space="preserve">) not less than 45 nor more than 50 Scheduled Trading Days prior to the Redemption Date to each Holder so to be redeemed as a whole or in part;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Company shall give such notice, it shall also give written notice of the Redemption Date to the Trustee, the Paying Agent (if other than the Trustee) and the Conversion Agent (if other than the Trustee);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if, in accordance with the provisions described in Section 14.02(a)(iii), the Company elects through delivery of a Settlement Notice to settle all conversions of Notes with a Conversion Date that occurs on or after the date of issuance of a Notice of Redemption with respect to the Notes and prior to the related Redemption Date, by Physical Settlement, then the Company may instead elect to choose a Redemption Date that is a Business Day not less than 10 nor more than 50 Scheduled Trading Days after the date the Company sends such Notice of Redemption to each Holder so to be redeemed as a whole or in part. The Redemption Date must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Notice of Redemption, if delivered in the manner herein provided, shall be conclusively presumed to have been duly given, whether or not the Holder receives such notice. In any case, failure to give such Notice of Redemption or any defect in the Notice of Redemption to the Holder of any Note designated for redemption as a whole or in part shall not affect the validity of the proceedings for the redemption of any other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Notice of Redemption shall specify: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on the Redemption Date, the Redemption Price will become due and payable upon each Note to be redeemed, and that interest thereon, if any, shall cease to accrue on and after payment of the Redemption Price in full on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place or places where such Notes are to be surrendered for payment of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Holders of Called Notes may surrender their Notes for conversion at any time during the related Redemption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procedures a converting Holder must follow to convert its Called Notes and the Settlement Method and Specified Dollar Amount,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Conversion Rate and, if applicable, the number of Additional Shares added to the Conversion Rate in accordance with Section 14.03;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CUSIP, ISIN or other similar numbers, if any, assigned to such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 case any Note is to be redeemed in part only, the portion of the principal amount thereof to be redeemed and on and after the Redemption Date, upon surrender of such Note, a new Note in principal amount equal to the unredeemed portion thereof shall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Redemption shall be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Company elects to redeem fewer than all of the outstanding Notes, at least $25,000,000 aggregate principal amount of Notes must be outstanding and not subject to Optional Redemption as of the time the Company delivers, and after giving effect to the delivery of, the Notice of Redemption (such requirement, the “</w:t>
      </w:r>
      <w:r>
        <w:rPr>
          <w:rFonts w:ascii="Times New Roman;Times;Serif" w:hAnsi="Times New Roman;Times;Serif"/>
          <w:b/>
          <w:i w:val="false"/>
          <w:caps w:val="false"/>
          <w:smallCaps w:val="false"/>
          <w:sz w:val="20"/>
        </w:rPr>
        <w:t>Partial Redemption Limitation</w:t>
      </w:r>
      <w:r>
        <w:rPr>
          <w:rFonts w:ascii="Times New Roman;Times;Serif" w:hAnsi="Times New Roman;Times;Serif"/>
          <w:b w:val="false"/>
          <w:i w:val="false"/>
          <w:caps w:val="false"/>
          <w:smallCaps w:val="false"/>
          <w:sz w:val="20"/>
        </w:rPr>
        <w:t xml:space="preserve">”). If fewer than all of the outstanding Notes are to be redeemed and the Notes to be redeemed are Global Notes, the Notes to be redeemed shall be selected by the Depositary in accordance with the applicable procedures of the Depositary. If fewer than all of the outstanding Notes are to be redeemed and the Notes to be redeemed are not Global Notes, the Trustee shall select the Notes or portions thereof to be redeemed (in principal amounts of $1,000 or multiples thereof) by lot, on a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basis or by another method the Trustee considers to be fair and appropriate. If any Note selected for partial redemption by the Trustee (or the Depositary, with respect to Global Notes)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16.03.</w:t>
        <w:tab/>
        <w:t>   </w:t>
      </w:r>
      <w:r>
        <w:rPr>
          <w:rFonts w:ascii="Times New Roman;Times;Serif" w:hAnsi="Times New Roman;Times;Serif"/>
          <w:b w:val="false"/>
          <w:i/>
          <w:caps w:val="false"/>
          <w:smallCaps w:val="false"/>
          <w:sz w:val="20"/>
        </w:rPr>
        <w:t>Payment of Notes Called for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Notice of Redemption has been given in respect of all or any part of the Notes in accordance with Section 16.02, the Notes so subject to Optional Redemption shall become due and payable on the Redemption Date at the place or places stated in the Notice of Redemption and at the applicable Redemption Price. On presentation and surrender of the Notes to be redeemed at the place or places stated in the Notice of Redemption, such Notes shall be paid and redeemed by the Company at the applicable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 Upon surrender of a Note that is to be redeemed in part pursuant to Section 16.01, the Company shall execute and the Trustee shall authenticate and deliver to the Holder a new Note in an authorized denomination equal in principal amount to the unredeemed portion of the Note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16.04.</w:t>
        <w:tab/>
        <w:t>   </w:t>
      </w:r>
      <w:r>
        <w:rPr>
          <w:rFonts w:ascii="Times New Roman;Times;Serif" w:hAnsi="Times New Roman;Times;Serif"/>
          <w:b w:val="false"/>
          <w:i/>
          <w:caps w:val="false"/>
          <w:smallCaps w:val="false"/>
          <w:sz w:val="20"/>
        </w:rPr>
        <w:t>Restrictions on Redemption</w:t>
      </w:r>
      <w:r>
        <w:rPr>
          <w:rFonts w:ascii="Times New Roman;Times;Serif" w:hAnsi="Times New Roman;Times;Serif"/>
          <w:b w:val="false"/>
          <w:i w:val="false"/>
          <w:caps w:val="false"/>
          <w:smallCaps w:val="false"/>
          <w:sz w:val="20"/>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17</w:t>
        <w:b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17.01.</w:t>
        <w:tab/>
        <w:t>   </w:t>
      </w:r>
      <w:r>
        <w:rPr>
          <w:rFonts w:ascii="Times New Roman;Times;Serif" w:hAnsi="Times New Roman;Times;Serif"/>
          <w:b w:val="false"/>
          <w:i/>
          <w:caps w:val="false"/>
          <w:smallCaps w:val="false"/>
          <w:sz w:val="20"/>
        </w:rPr>
        <w:t>Provisions Binding on Company’s Successors</w:t>
      </w:r>
      <w:r>
        <w:rPr>
          <w:rFonts w:ascii="Times New Roman;Times;Serif" w:hAnsi="Times New Roman;Times;Serif"/>
          <w:b w:val="false"/>
          <w:i w:val="false"/>
          <w:caps w:val="false"/>
          <w:smallCaps w:val="false"/>
          <w:sz w:val="20"/>
        </w:rPr>
        <w:t>. All the covenants, stipulations, promises and agreements of the Company contained in this Indenture shall bind its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17.02.</w:t>
        <w:tab/>
        <w:t>   </w:t>
      </w:r>
      <w:r>
        <w:rPr>
          <w:rFonts w:ascii="Times New Roman;Times;Serif" w:hAnsi="Times New Roman;Times;Serif"/>
          <w:b w:val="false"/>
          <w:i/>
          <w:caps w:val="false"/>
          <w:smallCaps w:val="false"/>
          <w:sz w:val="20"/>
        </w:rPr>
        <w:t xml:space="preserve">Official Acts by Successor Entity. </w:t>
      </w: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17.03.</w:t>
        <w:tab/>
        <w:t>   </w:t>
      </w:r>
      <w:r>
        <w:rPr>
          <w:rFonts w:ascii="Times New Roman;Times;Serif" w:hAnsi="Times New Roman;Times;Serif"/>
          <w:b w:val="false"/>
          <w:i/>
          <w:caps w:val="false"/>
          <w:smallCaps w:val="false"/>
          <w:sz w:val="20"/>
        </w:rPr>
        <w:t>Addresses for Notices, Etc</w:t>
      </w:r>
      <w:r>
        <w:rPr>
          <w:rFonts w:ascii="Times New Roman;Times;Serif" w:hAnsi="Times New Roman;Times;Serif"/>
          <w:b w:val="false"/>
          <w:i w:val="false"/>
          <w:caps w:val="false"/>
          <w:smallCaps w:val="false"/>
          <w:sz w:val="20"/>
        </w:rPr>
        <w:t>.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 prepaid by registered or certified mail in a post office letter box addressed (until another address is filed by the Company with the Trustee) to Ocugen, Inc., 11 Great Valley Parkway, Malvern, PA 19355 (Attn: Shankar Musunuri).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whether by mail or electronically, upon actual receipt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by notice to the Company, may designate additional or different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notice to the Trustee and the Conversion Agent shall be deemed given upon actual receipt by the Trustee or the Conversion Agent, as applicable. Notwithstanding any other provision of this Indenture or any Note, where this Indenture or any Note provides for notice of any event (including any Notice of Redemption, Fundamental Change Company Notice or Specified Repurchase Date Repurchase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17.04.</w:t>
        <w:tab/>
        <w:t>   </w:t>
      </w:r>
      <w:r>
        <w:rPr>
          <w:rFonts w:ascii="Times New Roman;Times;Serif" w:hAnsi="Times New Roman;Times;Serif"/>
          <w:b w:val="false"/>
          <w:i/>
          <w:caps w:val="false"/>
          <w:smallCaps w:val="false"/>
          <w:sz w:val="20"/>
        </w:rPr>
        <w:t xml:space="preserve">Governing Law; Jurisdiction. </w:t>
      </w:r>
      <w:r>
        <w:rPr>
          <w:rFonts w:ascii="Times New Roman;Times;Serif" w:hAnsi="Times New Roman;Times;Serif"/>
          <w:b w:val="false"/>
          <w:i w:val="false"/>
          <w:caps w:val="false"/>
          <w:smallCaps w:val="false"/>
          <w:sz w:val="20"/>
        </w:rPr>
        <w:t>THIS INDENTURE AND EACH NOTE, AND ANY CLAIM, CONTROVERSY OR DISPUTE ARISING UNDER OR RELATED TO THIS INDENTURE AND EACH NOTE,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generally and unconditionally with respect to any action, suit or proceeding for itself in respect of its properties, assets and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17.05.</w:t>
        <w:tab/>
        <w:t>   </w:t>
      </w:r>
      <w:r>
        <w:rPr>
          <w:rFonts w:ascii="Times New Roman;Times;Serif" w:hAnsi="Times New Roman;Times;Serif"/>
          <w:b w:val="false"/>
          <w:i/>
          <w:caps w:val="false"/>
          <w:smallCaps w:val="false"/>
          <w:sz w:val="20"/>
        </w:rPr>
        <w:t xml:space="preserve">Evidence of Compliance with Conditions Precedent; Certificates and Opinions of Counsel to Trustee. </w:t>
      </w:r>
      <w:r>
        <w:rPr>
          <w:rFonts w:ascii="Times New Roman;Times;Serif" w:hAnsi="Times New Roman;Times;Serif"/>
          <w:b w:val="false"/>
          <w:i w:val="false"/>
          <w:caps w:val="false"/>
          <w:smallCaps w:val="false"/>
          <w:sz w:val="20"/>
        </w:rPr>
        <w:t>Upon any application or demand by the Company to the Trustee to take any action under any of the provisions of this Indenture, the Company shall, if requested by the Trustee, furnish to the Trustee an Officer’s Certificate and an Opinion of Counsel stating that such action is permitted by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Officer’s Certificate and Opinion of Counsel provided for, by or on behalf of the Company in this Indenture and delivered to the Trustee with respect to compliance with this Indenture (other than the Officer’s Certificates provided for in Section 4.08, Section 7.02(h) and Section 8.04)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Opinion of Counsel shall be required to be delivered in connection with (1) the original issuance of Notes on the date hereof under this Indenture, (2) the mandatory exchange of the restricted CUSIP of the Restricted Securities to an unrestricted CUSIP pursuant to the applicable procedures of the Depositary upon the Notes becoming freely tradable by non-Affiliates of the Company under Rule 144 and the removal of the restrictive legends in connection therewith unless a new Note is to be authenticated,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such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17.06.</w:t>
        <w:tab/>
        <w:t>   </w:t>
      </w:r>
      <w:r>
        <w:rPr>
          <w:rFonts w:ascii="Times New Roman;Times;Serif" w:hAnsi="Times New Roman;Times;Serif"/>
          <w:b w:val="false"/>
          <w:i/>
          <w:caps w:val="false"/>
          <w:smallCaps w:val="false"/>
          <w:sz w:val="20"/>
        </w:rPr>
        <w:t xml:space="preserve">Legal Holidays. </w:t>
      </w:r>
      <w:r>
        <w:rPr>
          <w:rFonts w:ascii="Times New Roman;Times;Serif" w:hAnsi="Times New Roman;Times;Serif"/>
          <w:b w:val="false"/>
          <w:i w:val="false"/>
          <w:caps w:val="false"/>
          <w:smallCaps w:val="false"/>
          <w:sz w:val="20"/>
        </w:rPr>
        <w:t>In any case where any Interest Payment Date, any Fundamental Change Repurchase Date, the Specified Repurchase Date, any Redemption Date or the Maturity Date is not a Business Day or is a day on which financial institutions located in the state in which the Corporate Trust Office is located are authorized or required by law or executive order to close or be closed, then any action to be taken on such date need not be taken on such date, but may be taken on the next succeeding Business Day that is not a day on which financial institutions located in the state in which the Corporate Trust Office is located are authorized or required by law or executive order to close or be closed with the same force and effect as if taken on such date, and no interest shall accrue in respect of the delay.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17.07.</w:t>
        <w:tab/>
        <w:t>   </w:t>
      </w:r>
      <w:r>
        <w:rPr>
          <w:rFonts w:ascii="Times New Roman;Times;Serif" w:hAnsi="Times New Roman;Times;Serif"/>
          <w:b w:val="false"/>
          <w:i/>
          <w:caps w:val="false"/>
          <w:smallCaps w:val="false"/>
          <w:sz w:val="20"/>
        </w:rPr>
        <w:t xml:space="preserve">No Security Interest Created. </w:t>
      </w:r>
      <w:r>
        <w:rPr>
          <w:rFonts w:ascii="Times New Roman;Times;Serif" w:hAnsi="Times New Roman;Times;Serif"/>
          <w:b w:val="false"/>
          <w:i w:val="false"/>
          <w:caps w:val="false"/>
          <w:smallCaps w:val="false"/>
          <w:sz w:val="20"/>
        </w:rPr>
        <w:t>Nothing in this Indenture or in the Notes, expressed or implied, shall be construed to constitute a security interest under the Uniform Commercial Code or similar legislation, as now or hereafter enacted and in effect,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17.08.</w:t>
        <w:tab/>
        <w:t>   </w:t>
      </w:r>
      <w:r>
        <w:rPr>
          <w:rFonts w:ascii="Times New Roman;Times;Serif" w:hAnsi="Times New Roman;Times;Serif"/>
          <w:b w:val="false"/>
          <w:i/>
          <w:caps w:val="false"/>
          <w:smallCaps w:val="false"/>
          <w:sz w:val="20"/>
        </w:rPr>
        <w:t xml:space="preserve">Benefits of Indenture. </w:t>
      </w:r>
      <w:r>
        <w:rPr>
          <w:rFonts w:ascii="Times New Roman;Times;Serif" w:hAnsi="Times New Roman;Times;Serif"/>
          <w:b w:val="false"/>
          <w:i w:val="false"/>
          <w:caps w:val="false"/>
          <w:smallCaps w:val="false"/>
          <w:sz w:val="20"/>
        </w:rPr>
        <w:t>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17.09.</w:t>
        <w:tab/>
        <w:t>   </w:t>
      </w:r>
      <w:r>
        <w:rPr>
          <w:rFonts w:ascii="Times New Roman;Times;Serif" w:hAnsi="Times New Roman;Times;Serif"/>
          <w:b w:val="false"/>
          <w:i/>
          <w:caps w:val="false"/>
          <w:smallCaps w:val="false"/>
          <w:sz w:val="20"/>
        </w:rPr>
        <w:t>Table of Contents, Headings, Etc</w:t>
      </w:r>
      <w:r>
        <w:rPr>
          <w:rFonts w:ascii="Times New Roman;Times;Serif" w:hAnsi="Times New Roman;Times;Serif"/>
          <w:b w:val="false"/>
          <w:i w:val="false"/>
          <w:caps w:val="false"/>
          <w:smallCaps w:val="false"/>
          <w:sz w:val="20"/>
        </w:rPr>
        <w:t>.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17.10.</w:t>
        <w:tab/>
        <w:t>   </w:t>
      </w:r>
      <w:r>
        <w:rPr>
          <w:rFonts w:ascii="Times New Roman;Times;Serif" w:hAnsi="Times New Roman;Times;Serif"/>
          <w:b w:val="false"/>
          <w:i/>
          <w:caps w:val="false"/>
          <w:smallCaps w:val="false"/>
          <w:sz w:val="20"/>
        </w:rPr>
        <w:t xml:space="preserve">Authenticating Agent. </w:t>
      </w:r>
      <w:r>
        <w:rPr>
          <w:rFonts w:ascii="Times New Roman;Times;Serif" w:hAnsi="Times New Roman;Times;Serif"/>
          <w:b w:val="false"/>
          <w:i w:val="false"/>
          <w:caps w:val="false"/>
          <w:smallCaps w:val="false"/>
          <w:sz w:val="20"/>
        </w:rPr>
        <w:t>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of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to the authenticating agent from time to time reasonable compensation for its services although the Company may terminate the authenticating agent, if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determines such agent’s fees to be unreasonable.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 7.02, Section 7.03, Section 7.04, Section 8.03 and this Section 17.10 shall be applicable to any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authenticating agent is appointed pursuant to this Section 17.10, the Notes may have endorsed thereon, in addition to the Trustee’s certificate of authentication, an alternative certificate of authentication in the following form:</w:t>
      </w:r>
    </w:p>
    <w:p>
      <w:pPr>
        <w:pStyle w:val="TextBody"/>
        <w:bidi w:val="0"/>
        <w:spacing w:before="0" w:after="0"/>
        <w:ind w:left="0" w:right="0" w:hanging="0"/>
        <w:jc w:val="left"/>
        <w:rPr>
          <w:caps w:val="false"/>
          <w:smallCaps w:val="false"/>
        </w:rPr>
      </w:pPr>
      <w:r>
        <w:rPr>
          <w:caps w:val="false"/>
          <w:smallCaps w:val="false"/>
        </w:rPr>
        <w:t> </w:t>
      </w:r>
    </w:p>
    <w:tbl>
      <w:tblPr>
        <w:tblW w:w="8454" w:type="dxa"/>
        <w:jc w:val="left"/>
        <w:tblInd w:w="0" w:type="dxa"/>
        <w:tblLayout w:type="fixed"/>
        <w:tblCellMar>
          <w:top w:w="0" w:type="dxa"/>
          <w:left w:w="0" w:type="dxa"/>
          <w:bottom w:w="28" w:type="dxa"/>
          <w:right w:w="0" w:type="dxa"/>
        </w:tblCellMar>
      </w:tblPr>
      <w:tblGrid>
        <w:gridCol w:w="5412"/>
        <w:gridCol w:w="2962"/>
        <w:gridCol w:w="80"/>
      </w:tblGrid>
      <w:tr>
        <w:trPr/>
        <w:tc>
          <w:tcPr>
            <w:tcW w:w="8374"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center"/>
          </w:tcPr>
          <w:p>
            <w:pPr>
              <w:pStyle w:val="TableContents"/>
              <w:bidi w:val="0"/>
              <w:spacing w:before="0" w:after="283"/>
              <w:jc w:val="left"/>
              <w:rPr>
                <w:sz w:val="20"/>
              </w:rPr>
            </w:pPr>
            <w:r>
              <w:rPr>
                <w:sz w:val="20"/>
              </w:rPr>
              <w:t>,</w:t>
            </w:r>
          </w:p>
        </w:tc>
      </w:tr>
      <w:tr>
        <w:trPr/>
        <w:tc>
          <w:tcPr>
            <w:tcW w:w="8374" w:type="dxa"/>
            <w:gridSpan w:val="2"/>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Authenticating Agent, certifies that this is one of the Notes described in the within-named Indenture.</w:t>
            </w:r>
          </w:p>
        </w:tc>
        <w:tc>
          <w:tcPr>
            <w:tcW w:w="80" w:type="dxa"/>
            <w:tcBorders/>
            <w:tcMar>
              <w:bottom w:w="0" w:type="dxa"/>
            </w:tcMar>
            <w:vAlign w:val="center"/>
          </w:tcPr>
          <w:p>
            <w:pPr>
              <w:pStyle w:val="TableContents"/>
              <w:bidi w:val="0"/>
              <w:spacing w:before="0" w:after="283"/>
              <w:jc w:val="left"/>
              <w:rPr/>
            </w:pPr>
            <w:r>
              <w:rPr/>
              <w:t> </w:t>
            </w:r>
          </w:p>
        </w:tc>
      </w:tr>
      <w:tr>
        <w:trPr/>
        <w:tc>
          <w:tcPr>
            <w:tcW w:w="8374"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center"/>
          </w:tcPr>
          <w:p>
            <w:pPr>
              <w:pStyle w:val="TableContents"/>
              <w:bidi w:val="0"/>
              <w:spacing w:before="0" w:after="283"/>
              <w:jc w:val="left"/>
              <w:rPr/>
            </w:pPr>
            <w:r>
              <w:rPr/>
              <w:t> </w:t>
            </w:r>
          </w:p>
        </w:tc>
      </w:tr>
      <w:tr>
        <w:trPr/>
        <w:tc>
          <w:tcPr>
            <w:tcW w:w="541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62"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center"/>
          </w:tcPr>
          <w:p>
            <w:pPr>
              <w:pStyle w:val="TableContents"/>
              <w:bidi w:val="0"/>
              <w:spacing w:before="0" w:after="283"/>
              <w:jc w:val="left"/>
              <w:rPr/>
            </w:pPr>
            <w:r>
              <w:rPr/>
              <w:t> </w:t>
            </w:r>
          </w:p>
        </w:tc>
      </w:tr>
      <w:tr>
        <w:trPr/>
        <w:tc>
          <w:tcPr>
            <w:tcW w:w="8374" w:type="dxa"/>
            <w:gridSpan w:val="2"/>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c>
          <w:tcPr>
            <w:tcW w:w="8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17.11.</w:t>
        <w:tab/>
        <w:t>   </w:t>
      </w:r>
      <w:r>
        <w:rPr>
          <w:rFonts w:ascii="Times New Roman;Times;Serif" w:hAnsi="Times New Roman;Times;Serif"/>
          <w:b w:val="false"/>
          <w:i/>
          <w:caps w:val="false"/>
          <w:smallCaps w:val="false"/>
          <w:sz w:val="20"/>
        </w:rPr>
        <w:t xml:space="preserve">Execution in Counterparts. </w:t>
      </w: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17.12.</w:t>
        <w:tab/>
        <w:t>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In the event any provision of this Indenture or in the Notes shall be invalid, illegal or unenforceable, then (to the extent permitted by law) the validity, legality or enforceability of the remaining provisions shall not in any way be affected or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17.13.</w:t>
        <w:tab/>
        <w:t>   </w:t>
      </w:r>
      <w:r>
        <w:rPr>
          <w:rFonts w:ascii="Times New Roman;Times;Serif" w:hAnsi="Times New Roman;Times;Serif"/>
          <w:b w:val="false"/>
          <w:i/>
          <w:caps w:val="false"/>
          <w:smallCaps w:val="false"/>
          <w:sz w:val="20"/>
        </w:rPr>
        <w:t xml:space="preserve">Waiver of Jury Trial. </w:t>
      </w:r>
      <w:r>
        <w:rPr>
          <w:rFonts w:ascii="Times New Roman;Times;Serif" w:hAnsi="Times New Roman;Times;Serif"/>
          <w:b w:val="false"/>
          <w:i w:val="false"/>
          <w:caps w:val="false"/>
          <w:smallCaps w:val="false"/>
          <w:sz w:val="20"/>
        </w:rPr>
        <w:t>EACH OF THE COMPANY, THE HOLDERS OF THE NOTES, BY THEIR ACCEPTANCE THEREOF, AND THE TRUSTEE HEREBY IRREVOCABLY WAIVES, TO THE FULLEST EXTENT PERMITTED BY APPLICABLE LAW, ANY AND ALL RIGHT TO TRIAL BY JURY IN ANY LEGAL PROCEEDING ARISING OUT OF OR RELATING TO THIS INDENTURE, THE NOTES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17.14.</w:t>
        <w:tab/>
        <w:t>   </w:t>
      </w:r>
      <w:r>
        <w:rPr>
          <w:rFonts w:ascii="Times New Roman;Times;Serif" w:hAnsi="Times New Roman;Times;Serif"/>
          <w:b w:val="false"/>
          <w:i/>
          <w:caps w:val="false"/>
          <w:smallCaps w:val="false"/>
          <w:sz w:val="20"/>
        </w:rPr>
        <w:t xml:space="preserve">Force Majeure. </w:t>
      </w: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quarantine restrictions, recognized public emergencies,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17.15.</w:t>
        <w:tab/>
        <w:t>   </w:t>
      </w:r>
      <w:r>
        <w:rPr>
          <w:rFonts w:ascii="Times New Roman;Times;Serif" w:hAnsi="Times New Roman;Times;Serif"/>
          <w:b w:val="false"/>
          <w:i/>
          <w:caps w:val="false"/>
          <w:smallCaps w:val="false"/>
          <w:sz w:val="20"/>
        </w:rPr>
        <w:t>Calculations</w:t>
      </w:r>
      <w:r>
        <w:rPr>
          <w:rFonts w:ascii="Times New Roman;Times;Serif" w:hAnsi="Times New Roman;Times;Serif"/>
          <w:b w:val="false"/>
          <w:i w:val="false"/>
          <w:caps w:val="false"/>
          <w:smallCaps w:val="false"/>
          <w:sz w:val="20"/>
        </w:rPr>
        <w:t>. Except as otherwise provided herein, the Company shall be responsible for making all calculations called for under this Indenture and the Notes. These calculations include, but are not limited to, determinations of the Last Reported Sale Prices of the Common Stock, the Daily VWAPs, the Daily Conversion Values, the Daily Settlement Amounts, accrued interest payable on the Notes, Additional Interest, if any, payable on the Notes, the Redemption Price, the Fundamental Change Repurchase Price, the Specified Repurchase Date Repurchase Price, and the Conversion Rate of the Notes. The Company shall make all these calculations in good faith and, absent manifest error, the Company’s calculations shall be final and binding on Holders of Notes. The Company shall provide a schedule of its calculations to each of the Trustee, the Paying Agent (if other than the Trustee) and the Conversion Agent (if other than the Trustee), and each of the Trustee, the Paying Agent (if other than the Trustee) and Conversion Agent (if other than the Trustee) is entitled to rely conclusively upon the accuracy of the Company’s calculations without independent verification. The Company will forward the Company’s calculations to any Holder of Notes upon the request of that Holder at the sole cost and expense of the Company. The Trustee, the Paying Agent and the Conversion Agent shall have no responsibility for the calculations under this Indenture or the Notes or for verifying the Company’s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17.16.</w:t>
        <w:tab/>
        <w:t>   </w:t>
      </w:r>
      <w:r>
        <w:rPr>
          <w:rFonts w:ascii="Times New Roman;Times;Serif" w:hAnsi="Times New Roman;Times;Serif"/>
          <w:b w:val="false"/>
          <w:i/>
          <w:caps w:val="false"/>
          <w:smallCaps w:val="false"/>
          <w:sz w:val="20"/>
        </w:rPr>
        <w:t xml:space="preserve">USA PATRIOT Act. </w:t>
      </w:r>
      <w:r>
        <w:rPr>
          <w:rFonts w:ascii="Times New Roman;Times;Serif" w:hAnsi="Times New Roman;Times;Serif"/>
          <w:b w:val="false"/>
          <w:i w:val="false"/>
          <w:caps w:val="false"/>
          <w:smallCaps w:val="false"/>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17.17.</w:t>
        <w:tab/>
        <w:t>   </w:t>
      </w:r>
      <w:r>
        <w:rPr>
          <w:rFonts w:ascii="Times New Roman;Times;Serif" w:hAnsi="Times New Roman;Times;Serif"/>
          <w:b w:val="false"/>
          <w:i/>
          <w:caps w:val="false"/>
          <w:smallCaps w:val="false"/>
          <w:sz w:val="20"/>
        </w:rPr>
        <w:t>Electronic Signatures</w:t>
      </w:r>
      <w:r>
        <w:rPr>
          <w:rFonts w:ascii="Times New Roman;Times;Serif" w:hAnsi="Times New Roman;Times;Serif"/>
          <w:b w:val="false"/>
          <w:i w:val="false"/>
          <w:caps w:val="false"/>
          <w:smallCaps w:val="false"/>
          <w:sz w:val="20"/>
        </w:rPr>
        <w:t>.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5959" w:type="dxa"/>
        <w:jc w:val="left"/>
        <w:tblInd w:w="0" w:type="dxa"/>
        <w:tblLayout w:type="fixed"/>
        <w:tblCellMar>
          <w:top w:w="0" w:type="dxa"/>
          <w:left w:w="0" w:type="dxa"/>
          <w:bottom w:w="0" w:type="dxa"/>
          <w:right w:w="0" w:type="dxa"/>
        </w:tblCellMar>
      </w:tblPr>
      <w:tblGrid>
        <w:gridCol w:w="75"/>
        <w:gridCol w:w="386"/>
        <w:gridCol w:w="5498"/>
      </w:tblGrid>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OCUGEN, INC.</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549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9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Shankar Musunuri, Ph.D., MBA</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5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Shankar Musunuri, Ph.D., MBA</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5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Chief Executive Officer, &amp;Co-Founder</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549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549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9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Joshua A. Hahn </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5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Joshua A. Hahn </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5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FOLLOWING LEGEND IF A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FOLLOWING LEGEND IF ISSUED WITH ORIGINAL ISSUE DISCOUNT WITHIN THE MEANING OF SECTION 1273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WAS ISSUED WITH “ORIGINAL ISSUE DISCOUNT” (“</w:t>
      </w:r>
      <w:r>
        <w:rPr>
          <w:rFonts w:ascii="Times New Roman;Times;Serif" w:hAnsi="Times New Roman;Times;Serif"/>
          <w:b/>
          <w:i w:val="false"/>
          <w:caps w:val="false"/>
          <w:smallCaps w:val="false"/>
          <w:sz w:val="20"/>
        </w:rPr>
        <w:t>OID</w:t>
      </w:r>
      <w:r>
        <w:rPr>
          <w:rFonts w:ascii="Times New Roman;Times;Serif" w:hAnsi="Times New Roman;Times;Serif"/>
          <w:b w:val="false"/>
          <w:i w:val="false"/>
          <w:caps w:val="false"/>
          <w:smallCaps w:val="false"/>
          <w:sz w:val="20"/>
        </w:rPr>
        <w:t>”) WITHIN THE MEANING OF SECTION 1273 OF THE INTERNAL REVENUE CODE OF 1986, AS AMENDED. HOLDERS MAY OBTAIN INFORMATION REGARDING THE AMOUNT OF OID, THE ISSUE PRICE, THE ISSUE DATE, AND THE YIELD TO MATURITY RELATING TO THIS NOTE BY CONTACTING THE COMPA</w:t>
      </w:r>
      <w:r>
        <w:rPr>
          <w:rFonts w:ascii="Times New Roman;Times;Serif" w:hAnsi="Times New Roman;Times;Serif"/>
          <w:b w:val="false"/>
          <w:i w:val="false"/>
          <w:caps/>
          <w:sz w:val="20"/>
        </w:rPr>
        <w:t>NY, AT 11 Great Valley Parkway, Malvern, PA 19355 (Attn: Shankar Musunuri)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FOLLOWING LEGEND IF A RESTRICTED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AND THE SHARES OF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“QUALIFIED INSTITUTIONAL BUYER” (WITHIN THE MEANING OF RULE 144A UNDER THE SECURITIES ACT) AND THAT IT EXERCISES SOLE INVESTMENT DISCRETION WITH RESPECT TO EACH SUCH 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OCUGEN,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THAT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Restrictive Legend shall be deemed removed from the face of this Note without further action by the Company, Trustee or the Holders of this Note at such time and in the manner provided under Section 2.05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 Convertible Senior Notes due 2034</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520"/>
        <w:gridCol w:w="60"/>
        <w:gridCol w:w="1625"/>
      </w:tblGrid>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[_____]</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[Initially]</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       ]</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[___]</w:t>
            </w:r>
            <w:r>
              <w:rPr>
                <w:rFonts w:ascii="Times New Roman;Times;Serif" w:hAnsi="Times New Roman;Times;Serif"/>
                <w:b w:val="false"/>
                <w:i w:val="false"/>
                <w:caps w:val="false"/>
                <w:smallCaps w:val="false"/>
                <w:position w:val="7"/>
                <w:sz w:val="16"/>
                <w:sz w:val="20"/>
              </w:rPr>
              <w:t>3</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Inc., a corporation duly organized and validly existing under the laws of the State of Delaware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which term includes any successor corporation or other entity under the Indenture referred to on the reverse hereof), for value received hereby promises to pay to [CEDE &amp; CO.]</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or registered assigns, the principal sum [as set forth in the “Schedule of Exchanges of Notes” attached hereto]</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[of $[</w:t>
        <w:tab/>
        <w:t>     ]]</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which amount, taken together with the principal amounts of all other outstanding Notes, shall not, unless permitted by the Indenture, exceed $130,000,000 in aggregate at any time, in accordance with the rules and applicable procedures of the Depositary, on May 15, 2034, and interest thereon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bear interest at the rate of 6.75% per year from May 7, 2026, or from the most recent date to which interest has been paid or provided for to, but excluding, the next scheduled Interest Payment Date until May 15, 2034. Interest is payable semi-annually in arrears on each May 15 and November 15, commencing on November 15, 2026, to Holders of record at the close of business on the preceding May 1 and November 1 (whether or not such day is a Business Day), respectively. Additional Interest will be payable as set forth in Section 4.06(d), Section 4.06(e) and Section 6.03 of the within-mentioned Indenture, and any reference to interest on, or in respect of, any Note therein shall be deemed to include Additional Interest if, in such context, Additional Interest is, was or would be payable pursuant to any of such Section 4.06(d), Section 4.06(e) or Section 6.03, and any express mention of the payment of Additional Interest in any provision therein shall not be construed as excluding Additional Interest in those provisions thereof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within the contiguous United States of America, as a place where Notes may be presented for payment or for registration of 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This Note will be deemed to be identified by CUSIP No. [_____] from and after such time when the Company delivers, pursuant to Section 2.05(c) of the within-mentioned Indenture, written notice to the Trustee of the occurrence of the Resale Restriction Termination Date and the removal of the restrictive legend affixed to this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Include if a physical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Include if a physical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and any claim, controversy or dispute arising under or related to this Note, shall be construed in accordance with and governed by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conflict between this Note and the Indenture, the provisions of the Indenture shall control and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valid or become obligatory for any purpose until the certificate of authentication hereon shall have been signed manually by the Trustee or a duly authorized authenticating agent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w:t>
      </w:r>
    </w:p>
    <w:p>
      <w:pPr>
        <w:pStyle w:val="TextBody"/>
        <w:bidi w:val="0"/>
        <w:spacing w:before="0" w:after="0"/>
        <w:ind w:left="0" w:right="0" w:hanging="0"/>
        <w:jc w:val="left"/>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75"/>
        <w:gridCol w:w="443"/>
        <w:gridCol w:w="852"/>
      </w:tblGrid>
      <w:tr>
        <w:trPr/>
        <w:tc>
          <w:tcPr>
            <w:tcW w:w="75"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INC.</w:t>
            </w:r>
          </w:p>
        </w:tc>
      </w:tr>
      <w:tr>
        <w:trPr/>
        <w:tc>
          <w:tcPr>
            <w:tcW w:w="75"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caps w:val="false"/>
                <w:smallCaps w:val="false"/>
              </w:rPr>
            </w:pPr>
            <w:r>
              <w:rPr>
                <w:caps w:val="false"/>
                <w:smallCaps w:val="false"/>
              </w:rPr>
              <w:t> </w:t>
            </w:r>
          </w:p>
        </w:tc>
        <w:tc>
          <w:tcPr>
            <w:tcW w:w="85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5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caps w:val="false"/>
                <w:smallCaps w:val="false"/>
              </w:rPr>
            </w:pPr>
            <w:r>
              <w:rPr>
                <w:caps w:val="false"/>
                <w:smallCaps w:val="false"/>
              </w:rPr>
              <w:t> </w:t>
            </w:r>
          </w:p>
        </w:tc>
        <w:tc>
          <w:tcPr>
            <w:tcW w:w="852" w:type="dxa"/>
            <w:tcBorders/>
            <w:vAlign w:val="center"/>
          </w:tcPr>
          <w:p>
            <w:pPr>
              <w:pStyle w:val="TableContents"/>
              <w:bidi w:val="0"/>
              <w:spacing w:before="0" w:after="283"/>
              <w:jc w:val="left"/>
              <w:rPr>
                <w:sz w:val="20"/>
              </w:rPr>
            </w:pPr>
            <w:r>
              <w:rPr>
                <w:sz w:val="20"/>
              </w:rPr>
              <w:t>Name: </w:t>
            </w:r>
          </w:p>
        </w:tc>
      </w:tr>
      <w:tr>
        <w:trPr/>
        <w:tc>
          <w:tcPr>
            <w:tcW w:w="75"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caps w:val="false"/>
                <w:smallCaps w:val="false"/>
              </w:rPr>
            </w:pPr>
            <w:r>
              <w:rPr>
                <w:caps w:val="false"/>
                <w:smallCaps w:val="false"/>
              </w:rPr>
              <w:t> </w:t>
            </w:r>
          </w:p>
        </w:tc>
        <w:tc>
          <w:tcPr>
            <w:tcW w:w="852"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tbl>
      <w:tblPr>
        <w:tblW w:w="7279" w:type="dxa"/>
        <w:jc w:val="left"/>
        <w:tblInd w:w="0" w:type="dxa"/>
        <w:tblLayout w:type="fixed"/>
        <w:tblCellMar>
          <w:top w:w="0" w:type="dxa"/>
          <w:left w:w="0" w:type="dxa"/>
          <w:bottom w:w="0" w:type="dxa"/>
          <w:right w:w="0" w:type="dxa"/>
        </w:tblCellMar>
      </w:tblPr>
      <w:tblGrid>
        <w:gridCol w:w="1143"/>
        <w:gridCol w:w="6061"/>
        <w:gridCol w:w="75"/>
      </w:tblGrid>
      <w:tr>
        <w:trPr/>
        <w:tc>
          <w:tcPr>
            <w:tcW w:w="72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c>
          <w:tcPr>
            <w:tcW w:w="75" w:type="dxa"/>
            <w:tcBorders/>
            <w:vAlign w:val="center"/>
          </w:tcPr>
          <w:p>
            <w:pPr>
              <w:pStyle w:val="TableContents"/>
              <w:bidi w:val="0"/>
              <w:spacing w:before="0" w:after="283"/>
              <w:jc w:val="left"/>
              <w:rPr/>
            </w:pPr>
            <w:r>
              <w:rPr/>
              <w:t> </w:t>
            </w:r>
          </w:p>
        </w:tc>
      </w:tr>
      <w:tr>
        <w:trPr/>
        <w:tc>
          <w:tcPr>
            <w:tcW w:w="72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 certifies that this is one of the Notes described in the within-named Indenture.</w:t>
            </w:r>
          </w:p>
        </w:tc>
        <w:tc>
          <w:tcPr>
            <w:tcW w:w="75" w:type="dxa"/>
            <w:tcBorders/>
            <w:vAlign w:val="center"/>
          </w:tcPr>
          <w:p>
            <w:pPr>
              <w:pStyle w:val="TableContents"/>
              <w:bidi w:val="0"/>
              <w:spacing w:before="0" w:after="283"/>
              <w:jc w:val="left"/>
              <w:rPr/>
            </w:pPr>
            <w:r>
              <w:rPr/>
              <w:t> </w:t>
            </w:r>
          </w:p>
        </w:tc>
      </w:tr>
      <w:tr>
        <w:trPr/>
        <w:tc>
          <w:tcPr>
            <w:tcW w:w="1143" w:type="dxa"/>
            <w:tcBorders/>
            <w:vAlign w:val="center"/>
          </w:tcPr>
          <w:p>
            <w:pPr>
              <w:pStyle w:val="TableContents"/>
              <w:bidi w:val="0"/>
              <w:spacing w:before="0" w:after="283"/>
              <w:jc w:val="left"/>
              <w:rPr>
                <w:caps w:val="false"/>
                <w:smallCaps w:val="false"/>
              </w:rPr>
            </w:pPr>
            <w:r>
              <w:rPr>
                <w:caps w:val="false"/>
                <w:smallCaps w:val="false"/>
              </w:rPr>
              <w:t> </w:t>
            </w:r>
          </w:p>
        </w:tc>
        <w:tc>
          <w:tcPr>
            <w:tcW w:w="606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6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143" w:type="dxa"/>
            <w:tcBorders/>
            <w:vAlign w:val="center"/>
          </w:tcPr>
          <w:p>
            <w:pPr>
              <w:pStyle w:val="TableContents"/>
              <w:bidi w:val="0"/>
              <w:spacing w:before="0" w:after="283"/>
              <w:jc w:val="left"/>
              <w:rPr>
                <w:caps w:val="false"/>
                <w:smallCaps w:val="false"/>
              </w:rPr>
            </w:pPr>
            <w:r>
              <w:rPr>
                <w:caps w:val="false"/>
                <w:smallCaps w:val="false"/>
              </w:rPr>
              <w:t> </w:t>
            </w:r>
          </w:p>
        </w:tc>
        <w:tc>
          <w:tcPr>
            <w:tcW w:w="6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 Convertible Senior Notes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the Company, designated as its 6.75% Convertible Senior Notes due 2034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initially limited to the aggregate principal amount of $130,000,000, all issued or to be issued under and pursuant to an Indenture dated as of May 7, 2026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and U.S. Bank Trust Company,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Indenture, the Company will make all payments and deliveries in respect of the Fundamental Change Repurchase Price on the Fundamental Change Repurchase Date, the Specified Repurchase Date Repurchase Price on the Specified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shall have the right to receive payment or delivery, as the case may be, of (x) the principal (including the Redemption Price, the Specified Repurchase Date Repurchase Price on the Specified Repurchase Date and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redeem the Notes prior to May 15, 2029. The Notes shall be redeemable at the Company’s option on or after May 15, 2029 and prior to the 41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Scheduled Trading Day immediately preceding the Maturity Date in accordance with the terms and subject to the conditions specified in the Indenture. No sinking fund is provided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Fundamental Change (other than an Exempted Fundamental Change) and on the Specified Repurchase Date, the Holder has the right, at such Holder’s option, to require the Company to repurchase for cash all of such Holder’s Notes or any portion thereof (in principal amounts of $1,000 or integral multiples thereof) on the Fundamental Change Repurchase Date and the Specified Repurchase Date, as applicable, at a price equal to the Fundamental Change Repurchase Price or the Specified Repurchase Date Repurchase Price,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Indenture, the Holder hereof has the right, at its option, on or after the Conversion Limit End Date and prior to the close of business on the second Scheduled Trading Day immediately preceding the Maturity Date, to convert any Notes or portion thereof that is $1,000 or an integral multiple thereof, into cash, shares of Common Stock or a combination of cash and shares of Common Stock, as applicable (provided that Cash Settlement will apply prior to the Reserved Share Effective Date), at the Conversion Rate specified in the Indenture, as adjusted from time to time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ABBREVIATIONS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abbreviations, when used in the inscription of the face of this Note, shall be construed as though they were written out in full according to applicable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COM = as tenants in common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 GIFT MIN ACT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 =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ENT = as tenants by the entireties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JT TEN = joint tenants with right of survivorship and not as tenants in common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abbreviations may also be used though not in the above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r>
        <w:rPr>
          <w:rFonts w:ascii="Times New Roman;Times;Serif" w:hAnsi="Times New Roman;Times;Serif"/>
          <w:b/>
          <w:i w:val="false"/>
          <w:caps w:val="false"/>
          <w:smallCaps w:val="false"/>
          <w:position w:val="7"/>
          <w:sz w:val="16"/>
          <w:sz w:val="2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EXCHANGES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 Convertible Senior Notes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___________ MILLION DOLLARS ($[__________]). The following increases or decreases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935"/>
        <w:gridCol w:w="1670"/>
        <w:gridCol w:w="1670"/>
        <w:gridCol w:w="1685"/>
        <w:gridCol w:w="1250"/>
      </w:tblGrid>
      <w:tr>
        <w:trPr/>
        <w:tc>
          <w:tcPr>
            <w:tcW w:w="935"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Date of </w:t>
              <w:br/>
              <w:t>exchange</w:t>
            </w:r>
          </w:p>
        </w:tc>
        <w:tc>
          <w:tcPr>
            <w:tcW w:w="167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 of</w:t>
              <w:br/>
              <w:t xml:space="preserve">decrease in </w:t>
              <w:br/>
              <w:t xml:space="preserve">principal amount </w:t>
              <w:br/>
              <w:t xml:space="preserve">of this Global </w:t>
              <w:br/>
              <w:t>Note</w:t>
            </w:r>
          </w:p>
        </w:tc>
        <w:tc>
          <w:tcPr>
            <w:tcW w:w="167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Amount of </w:t>
              <w:br/>
              <w:t xml:space="preserve">increase in </w:t>
              <w:br/>
              <w:t xml:space="preserve">principal amount </w:t>
              <w:br/>
              <w:t xml:space="preserve">of this Global </w:t>
              <w:br/>
              <w:t>Note</w:t>
            </w:r>
          </w:p>
        </w:tc>
        <w:tc>
          <w:tcPr>
            <w:tcW w:w="1685"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Principal amount </w:t>
              <w:br/>
              <w:t xml:space="preserve">of this Global </w:t>
              <w:br/>
              <w:t xml:space="preserve">Note following </w:t>
              <w:br/>
              <w:t xml:space="preserve">such decrease or </w:t>
              <w:br/>
              <w:t>increase</w:t>
            </w:r>
          </w:p>
        </w:tc>
        <w:tc>
          <w:tcPr>
            <w:tcW w:w="125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Signature of </w:t>
              <w:br/>
              <w:t xml:space="preserve">authorized </w:t>
              <w:br/>
              <w:t xml:space="preserve">signatory of </w:t>
              <w:br/>
              <w:t xml:space="preserve">Trustee or </w:t>
              <w:br/>
              <w:t>Custodian</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r>
        <w:trPr/>
        <w:tc>
          <w:tcPr>
            <w:tcW w:w="935"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 OF CONVERSION]</w:t>
      </w:r>
    </w:p>
    <w:p>
      <w:pPr>
        <w:pStyle w:val="TextBody"/>
        <w:bidi w:val="0"/>
        <w:spacing w:before="0" w:after="0"/>
        <w:ind w:left="0" w:right="0" w:hanging="0"/>
        <w:jc w:val="left"/>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35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To:</w:t>
            </w:r>
          </w:p>
        </w:tc>
        <w:tc>
          <w:tcPr>
            <w:tcW w:w="4685" w:type="dxa"/>
            <w:tcBorders/>
            <w:vAlign w:val="center"/>
          </w:tcPr>
          <w:p>
            <w:pPr>
              <w:pStyle w:val="TableContents"/>
              <w:bidi w:val="0"/>
              <w:spacing w:before="0" w:after="283"/>
              <w:jc w:val="both"/>
              <w:rPr/>
            </w:pPr>
            <w:r>
              <w:rPr/>
              <w:t>U.S. Bank Trust Company, National Association</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Side Flats St Paul</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Livingston Ave,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Saint Paul, MN 55107</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Ocugen, Inc.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31"/>
        <w:gridCol w:w="943"/>
        <w:gridCol w:w="60"/>
        <w:gridCol w:w="894"/>
        <w:gridCol w:w="77"/>
      </w:tblGrid>
      <w:tr>
        <w:trPr/>
        <w:tc>
          <w:tcPr>
            <w:tcW w:w="8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94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4" w:type="dxa"/>
            <w:tcBorders>
              <w:bottom w:val="single" w:sz="8" w:space="0" w:color="000000"/>
            </w:tcBorders>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231"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8231"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4" w:type="dxa"/>
            <w:tcBorders>
              <w:bottom w:val="single" w:sz="8" w:space="0" w:color="000000"/>
            </w:tcBorders>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231"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sz w:val="20"/>
              </w:rPr>
            </w:pPr>
            <w:r>
              <w:rPr>
                <w:sz w:val="20"/>
              </w:rPr>
              <w:t>Signature(s)</w:t>
            </w:r>
          </w:p>
        </w:tc>
        <w:tc>
          <w:tcPr>
            <w:tcW w:w="77" w:type="dxa"/>
            <w:tcBorders/>
            <w:vAlign w:val="center"/>
          </w:tcPr>
          <w:p>
            <w:pPr>
              <w:pStyle w:val="TableContents"/>
              <w:bidi w:val="0"/>
              <w:spacing w:before="0" w:after="283"/>
              <w:jc w:val="left"/>
              <w:rPr/>
            </w:pPr>
            <w:r>
              <w:rPr/>
              <w:t> </w:t>
            </w:r>
          </w:p>
        </w:tc>
      </w:tr>
      <w:tr>
        <w:trPr/>
        <w:tc>
          <w:tcPr>
            <w:tcW w:w="8231"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917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91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91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91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shares of Common Stock are to be issued, or Notes are to be delivered, other than to and in the name of the registered holder.</w:t>
            </w:r>
          </w:p>
        </w:tc>
        <w:tc>
          <w:tcPr>
            <w:tcW w:w="6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005"/>
        <w:gridCol w:w="60"/>
        <w:gridCol w:w="6140"/>
      </w:tblGrid>
      <w:tr>
        <w:trPr/>
        <w:tc>
          <w:tcPr>
            <w:tcW w:w="4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Fill in for registration of shares if to be issued, and Notes if to be delivered, other than to and in the name of the registered holder:</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0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0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 Address)</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0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name and address</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sz w:val="20"/>
              </w:rPr>
            </w:pPr>
            <w:r>
              <w:rPr>
                <w:sz w:val="20"/>
              </w:rPr>
              <w:t>Principal amount to be converted (if less than all): $_______,000</w:t>
            </w:r>
          </w:p>
        </w:tc>
      </w:tr>
      <w:tr>
        <w:trPr/>
        <w:tc>
          <w:tcPr>
            <w:tcW w:w="4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sz w:val="20"/>
              </w:rPr>
            </w:pPr>
            <w:r>
              <w:rPr>
                <w:sz w:val="20"/>
              </w:rPr>
              <w:t>NOTICE: The above signature(s) of the Holder(s) hereof must correspond with the name as written upon the face of the Note in every particular without alteration or enlargement or any change whatever.</w:t>
            </w:r>
          </w:p>
        </w:tc>
      </w:tr>
      <w:tr>
        <w:trPr/>
        <w:tc>
          <w:tcPr>
            <w:tcW w:w="4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4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sz w:val="20"/>
              </w:rPr>
            </w:pPr>
            <w:r>
              <w:rPr>
                <w:sz w:val="20"/>
              </w:rPr>
              <w:t>Social Security or Other Taxpayer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FUNDAMENTAL CHANGE REPURCHASE NOTICE]</w:t>
      </w:r>
    </w:p>
    <w:p>
      <w:pPr>
        <w:pStyle w:val="TextBody"/>
        <w:bidi w:val="0"/>
        <w:spacing w:before="0" w:after="0"/>
        <w:ind w:left="0" w:right="0" w:hanging="0"/>
        <w:jc w:val="left"/>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35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To:</w:t>
            </w:r>
          </w:p>
        </w:tc>
        <w:tc>
          <w:tcPr>
            <w:tcW w:w="4685" w:type="dxa"/>
            <w:tcBorders/>
            <w:vAlign w:val="center"/>
          </w:tcPr>
          <w:p>
            <w:pPr>
              <w:pStyle w:val="TableContents"/>
              <w:bidi w:val="0"/>
              <w:spacing w:before="0" w:after="283"/>
              <w:jc w:val="both"/>
              <w:rPr/>
            </w:pPr>
            <w:r>
              <w:rPr/>
              <w:t>U.S. Bank Trust Company, National Association</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Side Flats St Paul</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Livingston Ave,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Saint Paul, MN 55107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Ocugen, Inc.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Note hereby acknowledges receipt of a notice from Ocugen,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Physical Notes, the certificate numbers of the Notes to be repurchased are as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7"/>
        <w:gridCol w:w="60"/>
        <w:gridCol w:w="60"/>
        <w:gridCol w:w="8779"/>
        <w:gridCol w:w="759"/>
      </w:tblGrid>
      <w:tr>
        <w:trPr/>
        <w:tc>
          <w:tcPr>
            <w:tcW w:w="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79"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79"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79" w:type="dxa"/>
            <w:tcBorders>
              <w:bottom w:val="single" w:sz="8" w:space="0" w:color="000000"/>
            </w:tcBorders>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79" w:type="dxa"/>
            <w:tcBorders/>
            <w:vAlign w:val="center"/>
          </w:tcPr>
          <w:p>
            <w:pPr>
              <w:pStyle w:val="TableContents"/>
              <w:bidi w:val="0"/>
              <w:spacing w:before="0" w:after="283"/>
              <w:jc w:val="left"/>
              <w:rPr>
                <w:sz w:val="20"/>
              </w:rPr>
            </w:pPr>
            <w:r>
              <w:rPr>
                <w:sz w:val="20"/>
              </w:rPr>
              <w:t>Signature(s)</w:t>
            </w:r>
          </w:p>
        </w:tc>
        <w:tc>
          <w:tcPr>
            <w:tcW w:w="759"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79"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79" w:type="dxa"/>
            <w:tcBorders>
              <w:bottom w:val="single" w:sz="8" w:space="0" w:color="000000"/>
            </w:tcBorders>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38" w:type="dxa"/>
            <w:gridSpan w:val="2"/>
            <w:tcBorders/>
            <w:vAlign w:val="center"/>
          </w:tcPr>
          <w:p>
            <w:pPr>
              <w:pStyle w:val="TableContents"/>
              <w:bidi w:val="0"/>
              <w:spacing w:before="0" w:after="283"/>
              <w:jc w:val="left"/>
              <w:rPr>
                <w:sz w:val="20"/>
              </w:rPr>
            </w:pPr>
            <w:r>
              <w:rPr>
                <w:sz w:val="20"/>
              </w:rPr>
              <w:t>Social Security or Other Taxpayer Identification Number</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38" w:type="dxa"/>
            <w:gridSpan w:val="2"/>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38" w:type="dxa"/>
            <w:gridSpan w:val="2"/>
            <w:tcBorders/>
            <w:vAlign w:val="center"/>
          </w:tcPr>
          <w:p>
            <w:pPr>
              <w:pStyle w:val="TableContents"/>
              <w:bidi w:val="0"/>
              <w:spacing w:before="0" w:after="283"/>
              <w:jc w:val="left"/>
              <w:rPr>
                <w:sz w:val="20"/>
              </w:rPr>
            </w:pPr>
            <w:r>
              <w:rPr>
                <w:sz w:val="20"/>
              </w:rPr>
              <w:t>Principal amount to be converted (if less than all): $_______,000</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38" w:type="dxa"/>
            <w:gridSpan w:val="2"/>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38" w:type="dxa"/>
            <w:gridSpan w:val="2"/>
            <w:tcBorders/>
            <w:vAlign w:val="center"/>
          </w:tcPr>
          <w:p>
            <w:pPr>
              <w:pStyle w:val="TableContents"/>
              <w:bidi w:val="0"/>
              <w:spacing w:before="0" w:after="283"/>
              <w:jc w:val="left"/>
              <w:rPr>
                <w:sz w:val="20"/>
              </w:rPr>
            </w:pPr>
            <w:r>
              <w:rPr>
                <w:sz w:val="20"/>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SPECIFIED REPURCHASE DATE REPURCHASE NOTICE]</w:t>
      </w:r>
    </w:p>
    <w:p>
      <w:pPr>
        <w:pStyle w:val="TextBody"/>
        <w:bidi w:val="0"/>
        <w:spacing w:before="0" w:after="0"/>
        <w:ind w:left="0" w:right="0" w:hanging="0"/>
        <w:jc w:val="left"/>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35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To:</w:t>
            </w:r>
          </w:p>
        </w:tc>
        <w:tc>
          <w:tcPr>
            <w:tcW w:w="4685" w:type="dxa"/>
            <w:tcBorders/>
            <w:vAlign w:val="center"/>
          </w:tcPr>
          <w:p>
            <w:pPr>
              <w:pStyle w:val="TableContents"/>
              <w:bidi w:val="0"/>
              <w:spacing w:before="0" w:after="283"/>
              <w:jc w:val="both"/>
              <w:rPr/>
            </w:pPr>
            <w:r>
              <w:rPr/>
              <w:t>U.S. Bank Trust Company, National Association</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Side Flats St Paul</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Livingston Ave,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Saint Paul, MN 55107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Ocugen, Inc.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Note hereby acknowledges receipt of a notice from Ocugen,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to the Specified Repurchase Date and specifying the Specified Repurchase Date and requests and instructs the Company to pay to the registered holder hereof in accordance with Section 15.01 of the Indenture referred to in this Note (1) the entire principal amount of this Note, or the portion thereof (that is $1,000 principal amount or an integral multiple thereof) below designated, and (2) if such Specified Repurchase Date does not fall during the period after a Regular Record Date and on or prior to the corresponding Interest Payment Date, accrued and unpaid interest, if any, thereon to, but excluding, such Specified Repurchase Date. Capitalized terms used herein but not defined shall have the meanings ascribed to such terms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Physical Notes, the certificate numbers of the Notes to be repurchased are as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7"/>
        <w:gridCol w:w="60"/>
        <w:gridCol w:w="60"/>
        <w:gridCol w:w="8779"/>
        <w:gridCol w:w="759"/>
      </w:tblGrid>
      <w:tr>
        <w:trPr/>
        <w:tc>
          <w:tcPr>
            <w:tcW w:w="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79"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79"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79" w:type="dxa"/>
            <w:tcBorders>
              <w:bottom w:val="single" w:sz="8" w:space="0" w:color="000000"/>
            </w:tcBorders>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79" w:type="dxa"/>
            <w:tcBorders/>
            <w:vAlign w:val="center"/>
          </w:tcPr>
          <w:p>
            <w:pPr>
              <w:pStyle w:val="TableContents"/>
              <w:bidi w:val="0"/>
              <w:spacing w:before="0" w:after="283"/>
              <w:jc w:val="left"/>
              <w:rPr>
                <w:sz w:val="20"/>
              </w:rPr>
            </w:pPr>
            <w:r>
              <w:rPr>
                <w:sz w:val="20"/>
              </w:rPr>
              <w:t>Signature(s)</w:t>
            </w:r>
          </w:p>
        </w:tc>
        <w:tc>
          <w:tcPr>
            <w:tcW w:w="759"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79"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79" w:type="dxa"/>
            <w:tcBorders>
              <w:bottom w:val="single" w:sz="8" w:space="0" w:color="000000"/>
            </w:tcBorders>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38" w:type="dxa"/>
            <w:gridSpan w:val="2"/>
            <w:tcBorders/>
            <w:vAlign w:val="center"/>
          </w:tcPr>
          <w:p>
            <w:pPr>
              <w:pStyle w:val="TableContents"/>
              <w:bidi w:val="0"/>
              <w:spacing w:before="0" w:after="283"/>
              <w:jc w:val="left"/>
              <w:rPr>
                <w:sz w:val="20"/>
              </w:rPr>
            </w:pPr>
            <w:r>
              <w:rPr>
                <w:sz w:val="20"/>
              </w:rPr>
              <w:t>Social Security or Other Taxpayer Identification Number</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38" w:type="dxa"/>
            <w:gridSpan w:val="2"/>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38" w:type="dxa"/>
            <w:gridSpan w:val="2"/>
            <w:tcBorders/>
            <w:vAlign w:val="center"/>
          </w:tcPr>
          <w:p>
            <w:pPr>
              <w:pStyle w:val="TableContents"/>
              <w:bidi w:val="0"/>
              <w:spacing w:before="0" w:after="283"/>
              <w:jc w:val="left"/>
              <w:rPr>
                <w:sz w:val="20"/>
              </w:rPr>
            </w:pPr>
            <w:r>
              <w:rPr>
                <w:sz w:val="20"/>
              </w:rPr>
              <w:t>Principal amount to be converted (if less than all): $_______,000</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38" w:type="dxa"/>
            <w:gridSpan w:val="2"/>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38" w:type="dxa"/>
            <w:gridSpan w:val="2"/>
            <w:tcBorders/>
            <w:vAlign w:val="center"/>
          </w:tcPr>
          <w:p>
            <w:pPr>
              <w:pStyle w:val="TableContents"/>
              <w:bidi w:val="0"/>
              <w:spacing w:before="0" w:after="283"/>
              <w:jc w:val="left"/>
              <w:rPr>
                <w:sz w:val="20"/>
              </w:rPr>
            </w:pPr>
            <w:r>
              <w:rPr>
                <w:sz w:val="20"/>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______________________ hereby sell(s), assign(s) and transfer(s) unto___________________ (Please insert social security or Taxpayer Identification Number of assignee) the within Note, and hereby irrevocably constitutes and appoints _____________________ attorney to transfer the said Note on the books of the Company,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of the within Note occurring prior to the Resale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Date, as defined in the Indenture governing such Note, the undersigned confirms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such Note is being transferred:</w:t>
      </w:r>
    </w:p>
    <w:p>
      <w:pPr>
        <w:pStyle w:val="TextBody"/>
        <w:bidi w:val="0"/>
        <w:spacing w:before="0" w:after="0"/>
        <w:ind w:left="0" w:right="0" w:hanging="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Ocugen, Inc. or a subsidiary thereof;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Pursuant to a registration statement that has become or been declared effective under the Securities Act of 1933, as amended; or</w:t>
            </w:r>
          </w:p>
        </w:tc>
      </w:tr>
    </w:tbl>
    <w:p>
      <w:pPr>
        <w:pStyle w:val="TextBody"/>
        <w:bidi w:val="0"/>
        <w:spacing w:before="0" w:after="0"/>
        <w:ind w:left="0" w:right="0" w:hanging="0"/>
        <w:jc w:val="left"/>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23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Pursuant to and in compliance with Rule 144A under the Securities Act of 1933, as amended;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Pursuant to and in compliance with Rule 144 under the Securities Act of 1933, as amended, or any other available exemption from the registration requirements of the Securities Act of 1933, as 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70"/>
        <w:gridCol w:w="1039"/>
        <w:gridCol w:w="60"/>
        <w:gridCol w:w="60"/>
        <w:gridCol w:w="76"/>
      </w:tblGrid>
      <w:tr>
        <w:trPr/>
        <w:tc>
          <w:tcPr>
            <w:tcW w:w="8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897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000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00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000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00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897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000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00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897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00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on the assignment must correspond with the name as written upon the face of the Note in every particular without alteration or enlargement or any change whatever.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61440</Words>
  <Characters>311830</Characters>
  <CharactersWithSpaces>376489</CharactersWithSpaces>
  <Paragraphs>3230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