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333-237456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142875</wp:posOffset>
            </wp:positionV>
            <wp:extent cx="227139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7139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ind w:right="180" w:firstLine="648"/>
        <w:spacing w:after="0" w:line="257" w:lineRule="auto"/>
        <w:rPr>
          <w:sz w:val="20"/>
          <w:szCs w:val="20"/>
          <w:color w:val="auto"/>
        </w:rPr>
      </w:pPr>
      <w:r>
        <w:rPr>
          <w:rFonts w:ascii="Arial" w:cs="Arial" w:eastAsia="Arial" w:hAnsi="Arial"/>
          <w:sz w:val="18"/>
          <w:szCs w:val="18"/>
          <w:color w:val="auto"/>
        </w:rPr>
        <w:t>We have entered into an At Market Issuance Sales Agreement, or sales agreement, with Cantor Fitzgerald &amp; Co. and Oppenheimer &amp; Co. Inc., each an Agent, and together, the Agents, relating to the sale of shares of our common stock, $0.01 par value per share, offered by this prospectus supplement and the accompanying prospectus. In accordance with the terms of the sales agreement, from time to time we may offer and sell shares of our common stock having an aggregate offering price of up to $30,000,000 through the Agents acting as our sales agents, pursuant to this prospectus supplement and the accompanying prospectus.</w:t>
      </w:r>
    </w:p>
    <w:p>
      <w:pPr>
        <w:spacing w:after="0" w:line="188" w:lineRule="exact"/>
        <w:rPr>
          <w:sz w:val="24"/>
          <w:szCs w:val="24"/>
          <w:color w:val="auto"/>
        </w:rPr>
      </w:pPr>
    </w:p>
    <w:p>
      <w:pPr>
        <w:ind w:right="380"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“OCGN.” On August 13, 2020, the last reported sale price of our common stock on the Nasdaq Capital Market was $0.623 per share.</w:t>
      </w:r>
    </w:p>
    <w:p>
      <w:pPr>
        <w:spacing w:after="0" w:line="170" w:lineRule="exact"/>
        <w:rPr>
          <w:sz w:val="24"/>
          <w:szCs w:val="24"/>
          <w:color w:val="auto"/>
        </w:rPr>
      </w:pPr>
    </w:p>
    <w:p>
      <w:pPr>
        <w:ind w:right="100" w:firstLine="648"/>
        <w:spacing w:after="0" w:line="275" w:lineRule="auto"/>
        <w:rPr>
          <w:sz w:val="20"/>
          <w:szCs w:val="20"/>
          <w:color w:val="auto"/>
        </w:rPr>
      </w:pPr>
      <w:r>
        <w:rPr>
          <w:rFonts w:ascii="Arial" w:cs="Arial" w:eastAsia="Arial" w:hAnsi="Arial"/>
          <w:sz w:val="17"/>
          <w:szCs w:val="17"/>
          <w:color w:val="auto"/>
        </w:rPr>
        <w:t>Sales of our common stock, if any, under this prospectus supplement and the accompanying prospectus may be made in sales deemed to be an “at the market offering” as defined in Rule 415(a)(4) promulgated under the Securities Act of 1933, as amended, or the Securities Act. Subject to the terms of the sales agreement, the Agents are not required to sell any specific number or dollar amounts of securities, but will act as our sales agents using commercially reasonable efforts consistent with their normal trading and sales practices, on mutually agreed terms between the Agents and us. There is no arrangement for funds to be received in any escrow, trust or similar arrangement.</w:t>
      </w:r>
    </w:p>
    <w:p>
      <w:pPr>
        <w:spacing w:after="0" w:line="176" w:lineRule="exact"/>
        <w:rPr>
          <w:sz w:val="24"/>
          <w:szCs w:val="24"/>
          <w:color w:val="auto"/>
        </w:rPr>
      </w:pPr>
    </w:p>
    <w:p>
      <w:pPr>
        <w:ind w:right="20" w:firstLine="648"/>
        <w:spacing w:after="0" w:line="301" w:lineRule="auto"/>
        <w:rPr>
          <w:sz w:val="20"/>
          <w:szCs w:val="20"/>
          <w:color w:val="auto"/>
        </w:rPr>
      </w:pPr>
      <w:r>
        <w:rPr>
          <w:rFonts w:ascii="Arial" w:cs="Arial" w:eastAsia="Arial" w:hAnsi="Arial"/>
          <w:sz w:val="16"/>
          <w:szCs w:val="16"/>
          <w:color w:val="auto"/>
        </w:rPr>
        <w:t>The Agents will be entitled to compensation under the terms of the sales agreement at a fixed commission rate of 3.0% of the gross sales price per share sold. In connection with the sale of our common stock on our behalf, each of the Agents will be deemed to be an “underwriter” within the meaning of the Securities Act, and the compensation of the Agents will be deemed to be underwriting commissions or discounts. We have also agreed to provide indemnification and contributions to the Agents against certain civil liabilities, including liabilities under the Securities Act. See “Plan of Distribution.”</w:t>
      </w:r>
    </w:p>
    <w:p>
      <w:pPr>
        <w:spacing w:after="0" w:line="153" w:lineRule="exact"/>
        <w:rPr>
          <w:sz w:val="24"/>
          <w:szCs w:val="24"/>
          <w:color w:val="auto"/>
        </w:rPr>
      </w:pPr>
    </w:p>
    <w:p>
      <w:pPr>
        <w:ind w:right="100" w:firstLine="648"/>
        <w:spacing w:after="0" w:line="314" w:lineRule="auto"/>
        <w:rPr>
          <w:sz w:val="20"/>
          <w:szCs w:val="20"/>
          <w:color w:val="auto"/>
        </w:rPr>
      </w:pPr>
      <w:r>
        <w:rPr>
          <w:rFonts w:ascii="Arial" w:cs="Arial" w:eastAsia="Arial" w:hAnsi="Arial"/>
          <w:sz w:val="16"/>
          <w:szCs w:val="16"/>
          <w:b w:val="1"/>
          <w:bCs w:val="1"/>
          <w:color w:val="auto"/>
        </w:rPr>
        <w:t>Investing in our common stock involves risks. Before making an investment decision, you should carefully consider all of the information set forth in this prospectus supplement and the accompanying prospectus, as well as the documents incorporated by reference herein. See “Risk Factors” on page S-6 of this prospectus supplement and in the documents incorporated by reference into this prospectus supplement.</w:t>
      </w:r>
    </w:p>
    <w:p>
      <w:pPr>
        <w:spacing w:after="0" w:line="142" w:lineRule="exact"/>
        <w:rPr>
          <w:sz w:val="24"/>
          <w:szCs w:val="24"/>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6" w:lineRule="exact"/>
        <w:rPr>
          <w:sz w:val="24"/>
          <w:szCs w:val="24"/>
          <w:color w:val="auto"/>
        </w:rPr>
      </w:pPr>
    </w:p>
    <w:p>
      <w:pPr>
        <w:spacing w:after="0"/>
        <w:tabs>
          <w:tab w:leader="none" w:pos="9660" w:val="left"/>
        </w:tabs>
        <w:rPr>
          <w:sz w:val="20"/>
          <w:szCs w:val="20"/>
          <w:color w:val="auto"/>
        </w:rPr>
      </w:pPr>
      <w:r>
        <w:rPr>
          <w:rFonts w:ascii="Arial" w:cs="Arial" w:eastAsia="Arial" w:hAnsi="Arial"/>
          <w:sz w:val="16"/>
          <w:szCs w:val="16"/>
          <w:b w:val="1"/>
          <w:bCs w:val="1"/>
          <w:color w:val="auto"/>
        </w:rPr>
        <w:t>Cantor</w:t>
      </w:r>
      <w:r>
        <w:rPr>
          <w:sz w:val="20"/>
          <w:szCs w:val="20"/>
          <w:color w:val="auto"/>
        </w:rPr>
        <w:tab/>
      </w:r>
      <w:r>
        <w:rPr>
          <w:rFonts w:ascii="Arial" w:cs="Arial" w:eastAsia="Arial" w:hAnsi="Arial"/>
          <w:sz w:val="16"/>
          <w:szCs w:val="16"/>
          <w:b w:val="1"/>
          <w:bCs w:val="1"/>
          <w:color w:val="auto"/>
        </w:rPr>
        <w:t>Oppenheimer &amp; Co.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August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760" w:type="dxa"/>
            <w:vAlign w:val="bottom"/>
          </w:tcPr>
          <w:p>
            <w:pPr>
              <w:jc w:val="center"/>
              <w:ind w:left="239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jc w:val="center"/>
              <w:ind w:left="2390"/>
              <w:spacing w:after="0"/>
              <w:rPr>
                <w:sz w:val="20"/>
                <w:szCs w:val="20"/>
                <w:color w:val="auto"/>
              </w:rPr>
            </w:pPr>
            <w:r>
              <w:rPr>
                <w:rFonts w:ascii="Arial" w:cs="Arial" w:eastAsia="Arial" w:hAnsi="Arial"/>
                <w:sz w:val="18"/>
                <w:szCs w:val="18"/>
                <w:b w:val="1"/>
                <w:bCs w:val="1"/>
                <w:color w:val="auto"/>
                <w:w w:val="87"/>
              </w:rPr>
              <w:t>Prospectus Supplement</w:t>
            </w:r>
          </w:p>
        </w:tc>
        <w:tc>
          <w:tcPr>
            <w:tcW w:w="2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24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THE OFFERING</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SPECIAL NOTE REGARDING FORWARD-LOOKING STATEMENTS</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DILUTION</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PLAN OF DISTRIBUTION</w:t>
              </w:r>
            </w:hyperlink>
          </w:p>
        </w:tc>
        <w:tc>
          <w:tcPr>
            <w:tcW w:w="248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LEGAL MATTERS</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EXPERTS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WHERE YOU CAN FIND MORE INFORMATION</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INCORPORATION OF CERTAIN INFORMATION BY REFERENCE</w:t>
              </w:r>
            </w:hyperlink>
          </w:p>
        </w:tc>
        <w:tc>
          <w:tcPr>
            <w:tcW w:w="248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jc w:val="center"/>
              <w:ind w:left="2390"/>
              <w:spacing w:after="0"/>
              <w:rPr>
                <w:sz w:val="20"/>
                <w:szCs w:val="20"/>
                <w:color w:val="auto"/>
              </w:rPr>
            </w:pPr>
            <w:r>
              <w:rPr>
                <w:rFonts w:ascii="Arial" w:cs="Arial" w:eastAsia="Arial" w:hAnsi="Arial"/>
                <w:sz w:val="18"/>
                <w:szCs w:val="18"/>
                <w:b w:val="1"/>
                <w:bCs w:val="1"/>
                <w:color w:val="auto"/>
                <w:w w:val="87"/>
              </w:rPr>
              <w:t>Accompanying Prospectus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ABOUT THIS PROSPECTUS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WHERE YOU CAN FIND MORE INFORMATION</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INCORPORATION OF CERTAIN INFORMATION BY REFERENCE</w:t>
              </w:r>
            </w:hyperlink>
          </w:p>
        </w:tc>
        <w:tc>
          <w:tcPr>
            <w:tcW w:w="248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ABOUT OCUGEN, INC.</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SPECIAL NOTE REGARDING FORWARD-LOOKING STATEMENTS</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USE OF PROCEEDS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CAPITAL STOCK</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DESCRIPTION OF DEBT SECURITIES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WARRANTS</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UNITS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GLOBAL SECURITIES</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PLAN OF DISTRIBUTION</w:t>
              </w:r>
            </w:hyperlink>
          </w:p>
        </w:tc>
        <w:tc>
          <w:tcPr>
            <w:tcW w:w="248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MATTERS</w:t>
              </w:r>
            </w:hyperlink>
          </w:p>
        </w:tc>
        <w:tc>
          <w:tcPr>
            <w:tcW w:w="2480" w:type="dxa"/>
            <w:vAlign w:val="bottom"/>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6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EXPERTS</w:t>
              </w:r>
            </w:hyperlink>
          </w:p>
        </w:tc>
        <w:tc>
          <w:tcPr>
            <w:tcW w:w="248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29</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prospectus supplement and the accompanying prospectus relate to an offering of our common stock. Before buying any of the common stock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of common stock and also adds to, updates and changes information contained in the accompanying prospectus and the documents incorporated by reference. The second part is the accompanying prospectus, which provides more general information, some of which may not apply to this offering. Generally, when we refer to this prospectus, we are referring to both parts of this document combined, together with the documents incorporated by reference herein or therein. To the extent the information contained in this prospectus supplement differs from or conflicts with the information contained in the accompanying prospectus or any document incorporated by reference having an earlier date,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not, Cantor Fitzgerald &amp; Co. and Oppenheimer &amp; Co. Inc., each an Agent, and together, the Agents, have not, authorized anyone to provide you with information different from that which is contained in or incorporated by reference in this prospectus supplement, the accompanying prospectus and in any free writing prospectus that we may authorize for use in connection with this offering. We and the Agents take no responsibility for, and can provide no assurance as to the reliability of, any other information that others may give you.</w:t>
      </w:r>
    </w:p>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the accompanying prospectus, any related free writing prospectus, or any sale of our common stock. Our business, financial condition, results of operations and prospects may have changed since those dates.</w:t>
      </w:r>
    </w:p>
    <w:p>
      <w:pPr>
        <w:spacing w:after="0" w:line="188"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is a part or as exhibits to documents incorporated by reference herein, and you may obtain copies of those documents as described below under the headings “Where You Can Find More Information” and “Incorporation of Certain Information by Reference.”</w:t>
      </w:r>
    </w:p>
    <w:p>
      <w:pPr>
        <w:spacing w:after="0" w:line="16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This prospectus supplement and the accompanying prospectus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or the accompanying prospectus may involve estimates, assumptions and other risks and uncertainties and are subject to change based on various factors, including those discussed under the heading “Risk Factors” contained in this prospectus supplement and the accompanying prospectus and under similar headings in other documents that are incorporated by reference herein and therein. Accordingly, investors should not place undue reliance on this information.</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 w:name="page4"/>
    <w:bookmarkEnd w:id="3"/>
    <w:p>
      <w:pPr>
        <w:ind w:firstLine="648"/>
        <w:spacing w:after="0" w:line="230" w:lineRule="auto"/>
        <w:rPr>
          <w:sz w:val="20"/>
          <w:szCs w:val="20"/>
          <w:color w:val="auto"/>
        </w:rPr>
      </w:pPr>
      <w:r>
        <w:rPr>
          <w:rFonts w:ascii="Arial" w:cs="Arial" w:eastAsia="Arial" w:hAnsi="Arial"/>
          <w:sz w:val="18"/>
          <w:szCs w:val="18"/>
          <w:color w:val="auto"/>
        </w:rPr>
        <w:t xml:space="preserve">Solely for convenience, tradenames referred to in this prospectus supplement appear without the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that the applicable owner will not assert its rights, to these tradenames. All trademarks, service marks and tradenames included or incorporated by reference in this prospectus supplement are the property of their respective owners.</w:t>
      </w:r>
    </w:p>
    <w:p>
      <w:pPr>
        <w:spacing w:after="0" w:line="20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Unless the context otherwise requires, references in this prospectus supplement to “Ocugen,” the “Company,” the “combined company” “we,” “our” or “us” refer to Ocugen, Inc. (formerly known as Histogenics Corporation) and its subsidiaries, references to “Ocugen” refer to the Company following the completion of the Merger (defined below), references to “Histogenics” refer to the Company prior to the completion of the Merger, references to “Former Ocugen” refer to Ocugen, Inc., a privately held corporation prior to the completion of the Merger, and references to “OpCo” refer to Ocugen OpCo, Inc., the Company’s wholly owned subsidiary following the Merger. See “Prospectus Supplement Summary—Company Information.”</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29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7294880"/>
                    </a:xfrm>
                    <a:prstGeom prst="rect">
                      <a:avLst/>
                    </a:prstGeom>
                    <a:noFill/>
                  </pic:spPr>
                </pic:pic>
              </a:graphicData>
            </a:graphic>
          </wp:anchor>
        </w:drawing>
        <w:t>PROSPECTUS SUPPLEMENT SUMMARY</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This summary highlights certain information about us and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the information incorporated by reference into this prospectus supplement and the accompanying prospectus, and the information included in any free writing prospectus that we authorize for use in connection with this offering, including the information contained in and incorporated by reference under the heading “Risk Factors” on page S-6 of this prospectus supplement, and under similar headings in the other documents that are filed after the date hereof and incorporated by reference into this prospectus supplement and the accompanying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Ocugen, Inc.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are a biopharmaceutical company focused on discovering, developing and commercializing transformative therapies to cure blindness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cutting-edge technology pipeline includes:</w:t>
      </w:r>
    </w:p>
    <w:p>
      <w:pPr>
        <w:spacing w:after="0" w:line="221" w:lineRule="exact"/>
        <w:rPr>
          <w:sz w:val="20"/>
          <w:szCs w:val="20"/>
          <w:color w:val="auto"/>
        </w:rPr>
      </w:pPr>
    </w:p>
    <w:p>
      <w:pPr>
        <w:ind w:left="980" w:right="100" w:hanging="331"/>
        <w:spacing w:after="0" w:line="282"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Modifier Gene Therapy Platform</w:t>
      </w:r>
      <w:r>
        <w:rPr>
          <w:rFonts w:ascii="Arial" w:cs="Arial" w:eastAsia="Arial" w:hAnsi="Arial"/>
          <w:sz w:val="18"/>
          <w:szCs w:val="18"/>
          <w:color w:val="auto"/>
        </w:rPr>
        <w:t>—Based on nuclear hormone receptors, or NHRs, we believe our gene therapy platform has the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to address many retinal diseases, including retinitis pigmentosa, or RP, with one product.</w:t>
      </w:r>
    </w:p>
    <w:p>
      <w:pPr>
        <w:spacing w:after="0" w:line="161" w:lineRule="exact"/>
        <w:rPr>
          <w:rFonts w:ascii="Arial" w:cs="Arial" w:eastAsia="Arial" w:hAnsi="Arial"/>
          <w:sz w:val="18"/>
          <w:szCs w:val="18"/>
          <w:color w:val="auto"/>
        </w:rPr>
      </w:pPr>
    </w:p>
    <w:p>
      <w:pPr>
        <w:ind w:left="980" w:right="140" w:hanging="331"/>
        <w:spacing w:after="0" w:line="282"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Novel Biologic Therapy for Retinal Diseases</w:t>
      </w:r>
      <w:r>
        <w:rPr>
          <w:rFonts w:ascii="Arial" w:cs="Arial" w:eastAsia="Arial" w:hAnsi="Arial"/>
          <w:sz w:val="18"/>
          <w:szCs w:val="18"/>
          <w:color w:val="auto"/>
        </w:rPr>
        <w:t>—We are developing OCU200, which is being developed to treat diabetic macular edema, or</w:t>
      </w:r>
      <w:r>
        <w:rPr>
          <w:rFonts w:ascii="Arial" w:cs="Arial" w:eastAsia="Arial" w:hAnsi="Arial"/>
          <w:sz w:val="18"/>
          <w:szCs w:val="18"/>
          <w:b w:val="1"/>
          <w:bCs w:val="1"/>
          <w:color w:val="auto"/>
        </w:rPr>
        <w:t xml:space="preserve"> </w:t>
      </w:r>
      <w:r>
        <w:rPr>
          <w:rFonts w:ascii="Arial" w:cs="Arial" w:eastAsia="Arial" w:hAnsi="Arial"/>
          <w:sz w:val="18"/>
          <w:szCs w:val="18"/>
          <w:color w:val="auto"/>
        </w:rPr>
        <w:t>DME, diabetic retinopathy, or DR, and wet age-related macular degeneration, or AMD.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Modifier Gene Therapy Platform</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We are developing a breakthrough modifier gene therapy platform to generate therapies designed to fulfill unmet medical needs in the area of retinal diseases, including inherited retinal diseases, or IRDs, and dry AMD. Our modifier gene therapy platform is based on NHRs which have the potential to restore homeostasis, the basic biological processes in the retina. Unlike single-gene replacement therapies, which only target one genetic mutation, we believe that our gene therapy platform, through its use of NHRs, represents a novel approach in that it may address multiple retinal diseases with one product. IRDs such as RP, a group of rare genetic disorders that involves a breakdown and loss of cells in the retina and can lead to visual impairment and blindness, affect over 1.5 million people worldwide. Over 150 gene mutations have been associated with RP and this number represents only 60% of the RP population. The remaining 40% of RP patients cannot be genetically diagnosed, making it difficult to develop individual treatments. We believe our first gene therapy candidate, OCU400, has the potential to eliminate the need for developing more than 150 individual products and provide one treatment option for all RP patients.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OCU400 has received four Orphan Drug Designations, or ODDs, from the U.S. Food and Drug Administration, or FDA, for the treatment of certain disease genotypes: nuclear receptor subfamily 2 group E member 3, or </w:t>
      </w:r>
      <w:r>
        <w:rPr>
          <w:rFonts w:ascii="Arial" w:cs="Arial" w:eastAsia="Arial" w:hAnsi="Arial"/>
          <w:sz w:val="16"/>
          <w:szCs w:val="16"/>
          <w:i w:val="1"/>
          <w:iCs w:val="1"/>
          <w:color w:val="auto"/>
        </w:rPr>
        <w:t>NR2E3</w:t>
      </w:r>
      <w:r>
        <w:rPr>
          <w:rFonts w:ascii="Arial" w:cs="Arial" w:eastAsia="Arial" w:hAnsi="Arial"/>
          <w:sz w:val="16"/>
          <w:szCs w:val="16"/>
          <w:color w:val="auto"/>
        </w:rPr>
        <w:t xml:space="preserve">, centrosomal protein 290, or </w:t>
      </w:r>
      <w:r>
        <w:rPr>
          <w:rFonts w:ascii="Arial" w:cs="Arial" w:eastAsia="Arial" w:hAnsi="Arial"/>
          <w:sz w:val="16"/>
          <w:szCs w:val="16"/>
          <w:i w:val="1"/>
          <w:iCs w:val="1"/>
          <w:color w:val="auto"/>
        </w:rPr>
        <w:t>CEP290</w:t>
      </w:r>
      <w:r>
        <w:rPr>
          <w:rFonts w:ascii="Arial" w:cs="Arial" w:eastAsia="Arial" w:hAnsi="Arial"/>
          <w:sz w:val="16"/>
          <w:szCs w:val="16"/>
          <w:color w:val="auto"/>
        </w:rPr>
        <w:t xml:space="preserve">, rhodopsin, or </w:t>
      </w:r>
      <w:r>
        <w:rPr>
          <w:rFonts w:ascii="Arial" w:cs="Arial" w:eastAsia="Arial" w:hAnsi="Arial"/>
          <w:sz w:val="16"/>
          <w:szCs w:val="16"/>
          <w:i w:val="1"/>
          <w:iCs w:val="1"/>
          <w:color w:val="auto"/>
        </w:rPr>
        <w:t>RHO</w:t>
      </w:r>
      <w:r>
        <w:rPr>
          <w:rFonts w:ascii="Arial" w:cs="Arial" w:eastAsia="Arial" w:hAnsi="Arial"/>
          <w:sz w:val="16"/>
          <w:szCs w:val="16"/>
          <w:color w:val="auto"/>
        </w:rPr>
        <w:t xml:space="preserve">, and phosphodiesterase 6B, or </w:t>
      </w:r>
      <w:r>
        <w:rPr>
          <w:rFonts w:ascii="Arial" w:cs="Arial" w:eastAsia="Arial" w:hAnsi="Arial"/>
          <w:sz w:val="16"/>
          <w:szCs w:val="16"/>
          <w:i w:val="1"/>
          <w:iCs w:val="1"/>
          <w:color w:val="auto"/>
        </w:rPr>
        <w:t>PDE6B</w:t>
      </w:r>
      <w:r>
        <w:rPr>
          <w:rFonts w:ascii="Arial" w:cs="Arial" w:eastAsia="Arial" w:hAnsi="Arial"/>
          <w:sz w:val="16"/>
          <w:szCs w:val="16"/>
          <w:color w:val="auto"/>
        </w:rPr>
        <w:t xml:space="preserve">, mutation-associated RP. The third ODD, for the </w:t>
      </w:r>
      <w:r>
        <w:rPr>
          <w:rFonts w:ascii="Arial" w:cs="Arial" w:eastAsia="Arial" w:hAnsi="Arial"/>
          <w:sz w:val="16"/>
          <w:szCs w:val="16"/>
          <w:i w:val="1"/>
          <w:iCs w:val="1"/>
          <w:color w:val="auto"/>
        </w:rPr>
        <w:t>RHO</w:t>
      </w:r>
      <w:r>
        <w:rPr>
          <w:rFonts w:ascii="Arial" w:cs="Arial" w:eastAsia="Arial" w:hAnsi="Arial"/>
          <w:sz w:val="16"/>
          <w:szCs w:val="16"/>
          <w:color w:val="auto"/>
        </w:rPr>
        <w:t xml:space="preserve"> gene mutation, was received in late July 2020. The </w:t>
      </w:r>
      <w:r>
        <w:rPr>
          <w:rFonts w:ascii="Arial" w:cs="Arial" w:eastAsia="Arial" w:hAnsi="Arial"/>
          <w:sz w:val="16"/>
          <w:szCs w:val="16"/>
          <w:i w:val="1"/>
          <w:iCs w:val="1"/>
          <w:color w:val="auto"/>
        </w:rPr>
        <w:t>RHO</w:t>
      </w:r>
      <w:r>
        <w:rPr>
          <w:rFonts w:ascii="Arial" w:cs="Arial" w:eastAsia="Arial" w:hAnsi="Arial"/>
          <w:sz w:val="16"/>
          <w:szCs w:val="16"/>
          <w:color w:val="auto"/>
        </w:rPr>
        <w:t xml:space="preserve"> mutation is one of the more common mutations that cause RP, representing about 12% of RP patients in the United States. The fourth ODD, for the </w:t>
      </w:r>
      <w:r>
        <w:rPr>
          <w:rFonts w:ascii="Arial" w:cs="Arial" w:eastAsia="Arial" w:hAnsi="Arial"/>
          <w:sz w:val="16"/>
          <w:szCs w:val="16"/>
          <w:i w:val="1"/>
          <w:iCs w:val="1"/>
          <w:color w:val="auto"/>
        </w:rPr>
        <w:t>PDE6B</w:t>
      </w:r>
      <w:r>
        <w:rPr>
          <w:rFonts w:ascii="Arial" w:cs="Arial" w:eastAsia="Arial" w:hAnsi="Arial"/>
          <w:sz w:val="16"/>
          <w:szCs w:val="16"/>
          <w:color w:val="auto"/>
        </w:rPr>
        <w:t xml:space="preserve"> gene mutation, was received in early August 2020. RP caused by </w:t>
      </w:r>
      <w:r>
        <w:rPr>
          <w:rFonts w:ascii="Arial" w:cs="Arial" w:eastAsia="Arial" w:hAnsi="Arial"/>
          <w:sz w:val="16"/>
          <w:szCs w:val="16"/>
          <w:i w:val="1"/>
          <w:iCs w:val="1"/>
          <w:color w:val="auto"/>
        </w:rPr>
        <w:t>PDE6B</w:t>
      </w:r>
      <w:r>
        <w:rPr>
          <w:rFonts w:ascii="Arial" w:cs="Arial" w:eastAsia="Arial" w:hAnsi="Arial"/>
          <w:sz w:val="16"/>
          <w:szCs w:val="16"/>
          <w:color w:val="auto"/>
        </w:rPr>
        <w:t xml:space="preserve"> mutation is an inherited retinal dystrophy that leads to blindness by midlife and is characterized by the progressive loss of photoreceptors, with or without the loss of retinal pigment epithelium cells. We are planning to initiate two Phase 1/2a clinical trials for OCU400 in the second half of 2021. Our second gene therapy candidate, OCU410, is being developed to utilize the nuclear receptor genes RAR-related orphan receptor A, or </w:t>
      </w:r>
      <w:r>
        <w:rPr>
          <w:rFonts w:ascii="Arial" w:cs="Arial" w:eastAsia="Arial" w:hAnsi="Arial"/>
          <w:sz w:val="16"/>
          <w:szCs w:val="16"/>
          <w:i w:val="1"/>
          <w:iCs w:val="1"/>
          <w:color w:val="auto"/>
        </w:rPr>
        <w:t>RORA</w:t>
      </w:r>
      <w:r>
        <w:rPr>
          <w:rFonts w:ascii="Arial" w:cs="Arial" w:eastAsia="Arial" w:hAnsi="Arial"/>
          <w:sz w:val="16"/>
          <w:szCs w:val="16"/>
          <w:color w:val="auto"/>
        </w:rPr>
        <w:t>, for the treatment of dry AMD. This candidate is currently in preclinical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Biologic Therapy for Retinal Diseases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conducting preclinical development for a novel biologic product candidate, OCU200. OCU200 is a novel fusion protein designed to treat DME, DR and wet AMD. We expect to initiate a Phase 1/2a clinical trial for OCU200 in the first half of 2022. We plan to expand the therapeutic applications of OCU200 beyond DME, DR and wet AMD to potentially include macular edema following retinal vein occlusion and myopic choroidal neovascularization.</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40" w:top="918"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357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357120"/>
                    </a:xfrm>
                    <a:prstGeom prst="rect">
                      <a:avLst/>
                    </a:prstGeom>
                    <a:noFill/>
                  </pic:spPr>
                </pic:pic>
              </a:graphicData>
            </a:graphic>
          </wp:anchor>
        </w:drawing>
        <w:t>Corporate Information</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September 27, 2019, we completed our reverse merger, or the Merger, with Ocugen OpCo Inc. (formerly known as Ocugen, Inc., or OpCo) in accordance with the terms of the Agreement and Plan of Merger and Reorganization, dated as of April 5, 2019, by and among OpCo, Restore Merger Sub, Inc., our wholly owned subsidiary, or Merger Sub, and us, as amended, or the Merger Agreement, pursuant to which Merger Sub merged with and into OpCo, with OpCo surviving as our wholly owned subsidiary. Immediately after completion of the Merger, we changed our name to Ocugen, Inc. and the business conducted by us became the business conducted by OpCo.</w:t>
      </w:r>
    </w:p>
    <w:p>
      <w:pPr>
        <w:spacing w:after="0" w:line="1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“OCGN.” Our global headquarters are located at 5 Great Valley Parkway, Suite 160, Malvern, PA 19355 and our telephone number is (484) 328-4701. Our website address is www.ocugen.com. The content contained in, or that can be accessed through, our website is not part of this prospectus. See “Where You Can Find More Information” and “Incorporation of Certain Information by Reference.”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and have elected to take advantage of certain of the scaled disclosures available to smaller reporting companies.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40" w:top="918" w:right="4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938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938135"/>
                    </a:xfrm>
                    <a:prstGeom prst="rect">
                      <a:avLst/>
                    </a:prstGeom>
                    <a:noFill/>
                  </pic:spPr>
                </pic:pic>
              </a:graphicData>
            </a:graphic>
          </wp:anchor>
        </w:drawing>
        <w:t>THE OFFERING</w:t>
      </w:r>
    </w:p>
    <w:p>
      <w:pPr>
        <w:sectPr>
          <w:pgSz w:w="11900" w:h="16838" w:orient="portrait"/>
          <w:cols w:equalWidth="0" w:num="1">
            <w:col w:w="11200"/>
          </w:cols>
          <w:pgMar w:left="340" w:top="918" w:right="3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Ocugen, Inc.</w:t>
      </w:r>
    </w:p>
    <w:p>
      <w:pPr>
        <w:spacing w:after="0" w:line="200" w:lineRule="exact"/>
        <w:rPr>
          <w:sz w:val="20"/>
          <w:szCs w:val="20"/>
          <w:color w:val="auto"/>
        </w:rPr>
      </w:pPr>
    </w:p>
    <w:p>
      <w:pPr>
        <w:sectPr>
          <w:pgSz w:w="11900" w:h="16838" w:orient="portrait"/>
          <w:cols w:equalWidth="0" w:num="2">
            <w:col w:w="3940" w:space="720"/>
            <w:col w:w="6540"/>
          </w:cols>
          <w:pgMar w:left="340" w:top="918"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our common stock having an aggregate offering price of up to $30,000,000</w:t>
      </w:r>
    </w:p>
    <w:p>
      <w:pPr>
        <w:spacing w:after="0" w:line="200" w:lineRule="exact"/>
        <w:rPr>
          <w:sz w:val="20"/>
          <w:szCs w:val="20"/>
          <w:color w:val="auto"/>
        </w:rPr>
      </w:pPr>
    </w:p>
    <w:p>
      <w:pPr>
        <w:sectPr>
          <w:pgSz w:w="11900" w:h="16838" w:orient="portrait"/>
          <w:cols w:equalWidth="0" w:num="2">
            <w:col w:w="3940" w:space="720"/>
            <w:col w:w="6540"/>
          </w:cols>
          <w:pgMar w:left="340" w:top="918"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Manner of offering</w:t>
      </w:r>
    </w:p>
    <w:p>
      <w:pPr>
        <w:spacing w:after="0" w:line="20" w:lineRule="exact"/>
        <w:rPr>
          <w:sz w:val="20"/>
          <w:szCs w:val="20"/>
          <w:color w:val="auto"/>
        </w:rPr>
      </w:pPr>
      <w:r>
        <w:rPr>
          <w:sz w:val="20"/>
          <w:szCs w:val="20"/>
          <w:color w:val="auto"/>
        </w:rPr>
        <w:br w:type="column"/>
      </w:r>
    </w:p>
    <w:p>
      <w:pPr>
        <w:ind w:right="180"/>
        <w:spacing w:after="0" w:line="270" w:lineRule="auto"/>
        <w:rPr>
          <w:sz w:val="20"/>
          <w:szCs w:val="20"/>
          <w:color w:val="auto"/>
        </w:rPr>
      </w:pPr>
      <w:r>
        <w:rPr>
          <w:rFonts w:ascii="Arial" w:cs="Arial" w:eastAsia="Arial" w:hAnsi="Arial"/>
          <w:sz w:val="17"/>
          <w:szCs w:val="17"/>
          <w:color w:val="auto"/>
        </w:rPr>
        <w:t>Sales of shares of our common stock under this prospectus supplement may be made by any method deemed to be an “at the market offering” as defined in Rule 415(a)(4) under the Securities Act of 1933, as amended. Subject to the terms of the sales agreement, Cantor Fitzgerald &amp; Co. and Oppenheimer &amp; Co. Inc., and each an Agent, and together, the Agents, will make all sales using commercially reasonable efforts consistent with their normal trading and sales practices and applicable state and federal laws, rules and regulations and the rules of the Nasdaq Capital Market, on mutually agreeable terms between the Agents and us. See “Plan of Distribution” on page S-12 of this prospectus supplement.</w:t>
      </w:r>
    </w:p>
    <w:p>
      <w:pPr>
        <w:spacing w:after="0" w:line="140" w:lineRule="exact"/>
        <w:rPr>
          <w:sz w:val="20"/>
          <w:szCs w:val="20"/>
          <w:color w:val="auto"/>
        </w:rPr>
      </w:pPr>
    </w:p>
    <w:p>
      <w:pPr>
        <w:sectPr>
          <w:pgSz w:w="11900" w:h="16838" w:orient="portrait"/>
          <w:cols w:equalWidth="0" w:num="2">
            <w:col w:w="3940" w:space="720"/>
            <w:col w:w="6540"/>
          </w:cols>
          <w:pgMar w:left="340" w:top="918" w:right="359" w:bottom="1440" w:gutter="0" w:footer="0" w:header="0"/>
          <w:type w:val="continuous"/>
        </w:sectPr>
      </w:pPr>
    </w:p>
    <w:p>
      <w:pPr>
        <w:ind w:left="4660" w:right="100" w:hanging="4654"/>
        <w:spacing w:after="0" w:line="275" w:lineRule="auto"/>
        <w:rPr>
          <w:sz w:val="20"/>
          <w:szCs w:val="20"/>
          <w:color w:val="auto"/>
        </w:rPr>
      </w:pPr>
      <w:r>
        <w:rPr>
          <w:rFonts w:ascii="Arial" w:cs="Arial" w:eastAsia="Arial" w:hAnsi="Arial"/>
          <w:sz w:val="17"/>
          <w:szCs w:val="17"/>
          <w:color w:val="auto"/>
        </w:rPr>
        <w:t>Common stock outstanding immediately following the offering 183,160,737 shares, assuming sales of 48,154,093 shares of our common stock in this offering at an offering price of $0.623 per share, which was the last reported sale price of our common stock on the Nasdaq Capital Market on August 13, 2020. The actual number of shares issued will vary depending on how many shares of our common stock we choose to sell and the prices at which such sales occur.</w:t>
      </w:r>
    </w:p>
    <w:p>
      <w:pPr>
        <w:sectPr>
          <w:pgSz w:w="11900" w:h="16838" w:orient="portrait"/>
          <w:cols w:equalWidth="0" w:num="1">
            <w:col w:w="11200"/>
          </w:cols>
          <w:pgMar w:left="340" w:top="918" w:right="35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Pursuant to the terms of our outstanding senior promissory notes, or Senior Notes, we are required, on a monthly basis during the term of this offering, to use a specified percentage of the net proceeds we receive from this offering to redeem outstanding amounts under the Senior Notes each month, until such notes are paid in full. The required percentage is 20% with respect to sales of our common stock made on or prior to August 22, 2020, and net proceeds from this offering each month to redeem amounts under our outstanding Senior Notes, we intend to use the balance of the net proceeds from this offering for working capital and general corporate purposes, which may include capital expenditures and research and development and general and administrative expenses. See “Use of Proceeds” on page S-9 of this prospectus supplement.</w:t>
      </w:r>
    </w:p>
    <w:p>
      <w:pPr>
        <w:spacing w:after="0" w:line="106" w:lineRule="exact"/>
        <w:rPr>
          <w:sz w:val="20"/>
          <w:szCs w:val="20"/>
          <w:color w:val="auto"/>
        </w:rPr>
      </w:pPr>
    </w:p>
    <w:p>
      <w:pPr>
        <w:sectPr>
          <w:pgSz w:w="11900" w:h="16838" w:orient="portrait"/>
          <w:cols w:equalWidth="0" w:num="2">
            <w:col w:w="3940" w:space="720"/>
            <w:col w:w="6540"/>
          </w:cols>
          <w:pgMar w:left="340" w:top="918" w:right="3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7"/>
          <w:szCs w:val="17"/>
          <w:color w:val="auto"/>
        </w:rPr>
        <w:t>Investing in our common stock involves a high degree of risk. See the information contained in or incorporated by reference under the heading “Risk Factors” on page S-6 of this prospectus supplement, in the accompanying prospectus and in the documents incorporated by reference into this prospectus supplement and any free writing prospectus that we authorize for use in connection with this offering.</w:t>
      </w:r>
    </w:p>
    <w:p>
      <w:pPr>
        <w:spacing w:after="0" w:line="136" w:lineRule="exact"/>
        <w:rPr>
          <w:sz w:val="20"/>
          <w:szCs w:val="20"/>
          <w:color w:val="auto"/>
        </w:rPr>
      </w:pPr>
    </w:p>
    <w:p>
      <w:pPr>
        <w:sectPr>
          <w:pgSz w:w="11900" w:h="16838" w:orient="portrait"/>
          <w:cols w:equalWidth="0" w:num="2">
            <w:col w:w="3940" w:space="720"/>
            <w:col w:w="6540"/>
          </w:cols>
          <w:pgMar w:left="340" w:top="918" w:right="359" w:bottom="1440" w:gutter="0" w:footer="0" w:header="0"/>
          <w:type w:val="continuous"/>
        </w:sect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OCGN</w:t>
      </w:r>
    </w:p>
    <w:p>
      <w:pPr>
        <w:spacing w:after="0" w:line="200" w:lineRule="exact"/>
        <w:rPr>
          <w:sz w:val="20"/>
          <w:szCs w:val="20"/>
          <w:color w:val="auto"/>
        </w:rPr>
      </w:pPr>
    </w:p>
    <w:p>
      <w:pPr>
        <w:sectPr>
          <w:pgSz w:w="11900" w:h="16838" w:orient="portrait"/>
          <w:cols w:equalWidth="0" w:num="2">
            <w:col w:w="3940" w:space="720"/>
            <w:col w:w="6540"/>
          </w:cols>
          <w:pgMar w:left="340" w:top="918" w:right="359" w:bottom="1440" w:gutter="0" w:footer="0" w:header="0"/>
          <w:type w:val="continuous"/>
        </w:sectPr>
      </w:pPr>
    </w:p>
    <w:p>
      <w:pPr>
        <w:spacing w:after="0" w:line="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 are based on 135,006,644 shares of our common stock outstanding as of June 30, 2020, and exclude as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980" w:right="20" w:hanging="331"/>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4,503,961 shares of common stock issuable upon the exercise of outstanding stock options as of June 30, 2020 at a weighted-average exercise price of $1.02 per share;</w:t>
      </w:r>
    </w:p>
    <w:p>
      <w:pPr>
        <w:spacing w:after="0" w:line="170" w:lineRule="exact"/>
        <w:rPr>
          <w:rFonts w:ascii="Arial" w:cs="Arial" w:eastAsia="Arial" w:hAnsi="Arial"/>
          <w:sz w:val="18"/>
          <w:szCs w:val="18"/>
          <w:color w:val="auto"/>
        </w:rPr>
      </w:pPr>
    </w:p>
    <w:p>
      <w:pPr>
        <w:ind w:left="980" w:hanging="331"/>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202,196 shares of common stock reserved for future issuance under our 2019 Equity Incentive Plan as of June 30, 2020, as well as any annual automatic increases in the number of shares of our common stock reserved for issuance under this plan;</w:t>
      </w:r>
    </w:p>
    <w:p>
      <w:pPr>
        <w:spacing w:after="0" w:line="170" w:lineRule="exact"/>
        <w:rPr>
          <w:rFonts w:ascii="Arial" w:cs="Arial" w:eastAsia="Arial" w:hAnsi="Arial"/>
          <w:sz w:val="18"/>
          <w:szCs w:val="18"/>
          <w:color w:val="auto"/>
        </w:rPr>
      </w:pPr>
    </w:p>
    <w:p>
      <w:pPr>
        <w:ind w:left="980" w:hanging="331"/>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242,858 shares of common stock reserved for future issuance under our 2014 Stock Option Plan as of June 30, 2020;</w:t>
      </w:r>
    </w:p>
    <w:p>
      <w:pPr>
        <w:spacing w:after="0" w:line="225" w:lineRule="exact"/>
        <w:rPr>
          <w:rFonts w:ascii="Arial" w:cs="Arial" w:eastAsia="Arial" w:hAnsi="Arial"/>
          <w:sz w:val="18"/>
          <w:szCs w:val="18"/>
          <w:color w:val="auto"/>
        </w:rPr>
      </w:pPr>
    </w:p>
    <w:p>
      <w:pPr>
        <w:ind w:left="980" w:right="80" w:hanging="331"/>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870,020 shares of common stock issuable upon the exercise of warrants outstanding as of June 30, 2020 at a weighted-average exercise price of $5.67 per share; and</w:t>
      </w:r>
    </w:p>
    <w:p>
      <w:pPr>
        <w:spacing w:after="0" w:line="170" w:lineRule="exact"/>
        <w:rPr>
          <w:rFonts w:ascii="Arial" w:cs="Arial" w:eastAsia="Arial" w:hAnsi="Arial"/>
          <w:sz w:val="18"/>
          <w:szCs w:val="18"/>
          <w:color w:val="auto"/>
        </w:rPr>
      </w:pPr>
    </w:p>
    <w:p>
      <w:pPr>
        <w:ind w:left="980" w:hanging="331"/>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56 shares of common stock issuable upon conversion of preferred stock.</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18" w:right="3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93"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Investing in our common stock involves a high degree of risk. You should carefully review the risks and uncertainties described below and discussed under the caption “Risk Factors” in our </w:t>
      </w:r>
      <w:hyperlink r:id="rId18">
        <w:r>
          <w:rPr>
            <w:rFonts w:ascii="Arial" w:cs="Arial" w:eastAsia="Arial" w:hAnsi="Arial"/>
            <w:sz w:val="16"/>
            <w:szCs w:val="16"/>
            <w:i w:val="1"/>
            <w:iCs w:val="1"/>
            <w:u w:val="single" w:color="auto"/>
            <w:color w:val="0000EE"/>
          </w:rPr>
          <w:t>Annual Report on Form 10-K for the fiscal year ended December 31, 2019,</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as updated by our quarterly, annual and other reports and documents that are incorporated by reference into this prospectus supplement, before deciding whether to purchase any common stock in this offering. Each of the risk factors could adversely affect our business, operating results, financial condition and prospects, as well as adversely affect the value of an investment in our common stock, and the occurrence of any of these risks might cause you to lose all or part of your investment. Additional risks not presently known to us or that we currently believe are immaterial may also significantly impair our business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This Offering</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broad discretion in how we use the net proceeds from this offering, and we may not use these proceeds effectively or in ways with which you agree.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Other than the use of a percentage of the net proceeds of this offering to redeem amounts under our outstanding senior notes, or Senior Notes, we have not designated any portion of the net proceeds from this offering to be used for any particular purpose, other than the repayment, if any, of the Senior Notes. Our management will have broad discretion as to the application of the net proceeds from this offering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increase the market price of our common stock. See “Use of Proceeds” in this prospectus supplement for a more detailed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immediate and substantial dilution.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offering price per share in this offering may exceed the net tangible book value per share of our common stock outstanding prior to this offering. Assuming that an aggregate of 48,154,093 shares of our common stock are sold at a price of $0.623 per share pursuant to this prospectus supplement, which was the last reported sale price of our common stock on the Nasdaq Capital Market on August 13, 2020, for aggregate gross proceeds of $30,000,000, after deducting commissions and estimated aggregate offering expenses payable by us, you would experience immediate dilution of $0.38 per share, representing the difference between our as adjusted net tangible book value per share as of June 30, 2020 after giving effect to this offering and the assumed offering price. The exercise of outstanding stock options and warrants may result in further dilution of your investment. See “Dilution” in this prospectus supplement for a more detailed illustration of the dilution you would incur if you participate in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not possible to predict the aggregate proceeds resulting from sales made under the sales agreement.</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Subject to certain limitations in the sales agreement and compliance with applicable law, we have the discretion to deliver a placement notice to Cantor Fitzgerald &amp; Co. and Oppenheimer &amp; Co. Inc., each an Agent, and together, the Agents, at any time throughout the term of the At Market Issuance Sales Agreement, or sales agreement. The number of shares that are sold through the Agents after delivering a placement notice will fluctuate based on a number of factors, including the market price of our common stock during the sales period, any limits we may set with the Agents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may be sold in “at the market offerings,” and investors who buy shares at different times will likely pay different prices.</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the Agents,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we have filed with the Securities and Exchange Commission, or SEC, that are incorporated by reference herein and therein contain forward-looking statements within the meaning of Section 27A of the Securities Act of 1933, as amended, and Section 21E of the Securities Exchange Act of 1934, as amended, that involve a number of risks and uncertainties. All statements, other than statements of historical facts, included in this prospectus and the documents incorporated by reference herein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forward-looking statements in this prospectus supplement, the accompanying prospectus and the documents incorporated by reference herein and therein include, among other things, statements about:</w:t>
      </w:r>
    </w:p>
    <w:p>
      <w:pPr>
        <w:spacing w:after="0" w:line="1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timing and availability of and the need for additional financing;</w:t>
      </w:r>
    </w:p>
    <w:p>
      <w:pPr>
        <w:spacing w:after="0" w:line="248" w:lineRule="exact"/>
        <w:rPr>
          <w:rFonts w:ascii="Arial" w:cs="Arial" w:eastAsia="Arial" w:hAnsi="Arial"/>
          <w:sz w:val="16"/>
          <w:szCs w:val="16"/>
          <w:color w:val="auto"/>
        </w:rPr>
      </w:pPr>
    </w:p>
    <w:p>
      <w:pPr>
        <w:ind w:left="980" w:right="1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additional capital to continue to advance our product candidates and preclinical programs, particularly in light of the potential economic impact and market disruption caused by the ongoing COVID-19 pandemic;</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under increased leverage and associated lending covenants;</w:t>
      </w:r>
    </w:p>
    <w:p>
      <w:pPr>
        <w:spacing w:after="0" w:line="225"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any value from product candidates and preclinical programs being developed and anticipated to be developed in light of inherent risks and difficulties involved in successfully bringing product candidates to market and the risk that product candidates, once approved, will not achieve broad market acceptance;</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obtaining successful clinical results for product candidates and unexpected costs that may result therefrom;</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schemes applicable to our business and other regulatory developments in the United States and foreign countries;</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uncertainties associated with the clinical development and regulatory approval of product candidates, including potential delays in the commencement, enrollment and completion of clinical trials;</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third-parties upon which we depend, including third-party contract research organizations, and third-party suppliers, manufacturers, group purchasing organizations, distributors and logistics providers;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profitability and contracts with our key commercial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or retain key scientific, technical, commercial, and management personnel or to retain our executive officers;</w:t>
      </w:r>
    </w:p>
    <w:p>
      <w:pPr>
        <w:spacing w:after="0" w:line="225" w:lineRule="exact"/>
        <w:rPr>
          <w:rFonts w:ascii="Arial" w:cs="Arial" w:eastAsia="Arial" w:hAnsi="Arial"/>
          <w:sz w:val="18"/>
          <w:szCs w:val="18"/>
          <w:color w:val="auto"/>
        </w:rPr>
      </w:pPr>
    </w:p>
    <w:p>
      <w:pPr>
        <w:ind w:left="980" w:right="1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stringent U.S. and foreign government regulation in the manufacture of pharmaceutical products, including Good Manufacturing Practice compliance and U.S. Drug Enforcement Agency compliance and other relevant regulatory authorities;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980" w:right="44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other risks, uncertainties and factors discussed under the heading “Risk Factors” in our most recent Annual Report on Form 10-K, as revised and supplemented by those risks described from time to time in other reports which we file with the SEC.</w:t>
      </w:r>
    </w:p>
    <w:p>
      <w:pPr>
        <w:spacing w:after="0" w:line="14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or incorporated by reference into this prospectus supplement, the accompanying prospectus and the documents incorporated by reference herein and therein, particularly under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or investments we may make. You should read this prospectus supplement, the accompanying prospectus and the documents that we incorporate by reference herein and therein completely and with the understanding that our actual future results may be materially different from what we expect. We qualify all of the forward-looking statements in this prospectus supplement by these cautionary statements.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Except as required by law, we undertake no obligation to update or revise any forward-looking statements to reflect new information or future events or developments. You should not assume that our silence over time means that actual events are bearing out as expressed or implied in such forward-looking statements. Before deciding to purchase our securities, you should carefully consider the risk factors discussed and incorporated by reference in this prospectus and in the applicable prospectus supplement. See “Risk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may issue and sell shares of our common stock having aggregate sales proceeds of up to $30,000,000 from time to time. Because there is no minimum offering amount required pursuant to the At Market Issuance Sales Agreement, or sales agreement, with Cantor Fitzgerald &amp; Co. and Oppenheimer &amp; Co. Inc., each an Agent, and together, the Agents, the actual total public offering amount, commissions and proceeds to us, if any, are not determinable at this time. Actual net proceeds will depend on the number of shares we sell and the prices at which such sales occur. There can be no assurance that we will sell any shares under or fully utilize the sales agreement with the Agents as a source of financing.</w:t>
      </w:r>
    </w:p>
    <w:p>
      <w:pPr>
        <w:spacing w:after="0" w:line="17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Pursuant to the terms of our outstanding senior notes, or Senior Notes, we are required, on a monthly basis during the term of this offering, to use a specified percentage of the net proceeds we receive from this offering to redeem outstanding amounts under the Senior Notes each month, until such notes are paid in full. The required percentage is 20% with respect to sales of our common stock made on or prior to August 22, 2020, and after such date, the required percentage is 30%. After using the applicable percentage of net proceeds from this offering to redeem amounts under Senior Notes each month, we intend to use the balance of the net proceeds from this offering for working capital and general corporate purposes, which may include capital expenditures and research and development and general and administrative expenses. We may also use a portion of the net proceeds from this offering to acquire or invest in businesses, products and technologies that are complementary to our own, although we have no current plans, commitments or agreements with respect to any such acquisitions or investments as of the date of this prospectus supplement.</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expected use of net proceeds, if any, from the sale of shares of common stock pursuant to the sales agreement with the Agents represents our intentions based upon our present plans and business conditions, which could change in the future as our plans and business conditions evolve. The amount and timing of our actual expenditures will depend upon numerous factors, including the results of our research and development efforts, the timing and success of preclinical studies and clinical trials we may commence in the future, the timing of regulatory submissions and the feedback from regulatory authorities. We have not determined the amount of net proceeds to be used specifically for such purposes and, as a result, management will retain broad discretion over the allocation of net proceeds, if any.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public offering price per share and the as adjusted net tangible book value per share of our common stock after this offering.</w:t>
      </w:r>
    </w:p>
    <w:p>
      <w:pPr>
        <w:spacing w:after="0" w:line="170"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As of June 30, 2020, our net tangible book value was approximately $14.6 million, or $0.11 per share. We calculate net tangible book value per share by dividing the net tangible book value, which is tangible assets less total liabilities, by the number of outstanding shares of our common stock. Dilution with respect to net tangible book value per share represents the difference between the portion of the amount per share paid by purchasers of shares in this offering and the as adjusted net tangible book value per share of our common stock immediately after giving effect to this offering.</w:t>
      </w:r>
    </w:p>
    <w:p>
      <w:pPr>
        <w:spacing w:after="0" w:line="15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After giving effect to the assumed sale by us of shares of our common stock in the aggregate amount of $30,000,000 in this offering at an assumed offering price of $0.623 per share, which was the last reported sale price of our common stock on the Nasdaq Capital Market on August 13, 2020, and after deducting commissions and estimated aggregate offering expenses payable by us, our net tangible book value as of June 30, 2020 would have been approximately $43.7 million, or $0.24 per share of common stock. This represents an immediate increase in net tangible book value per share of $0.13 to our existing stockholders and an immediate dilution in net tangible book value per share of $0.38 to new investors purchasing common stock in this offering. The following table illustrates this dilution on a per share basis to new investors participating in this offering.</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r>
      <w:tr>
        <w:trPr>
          <w:trHeight w:val="230"/>
        </w:trPr>
        <w:tc>
          <w:tcPr>
            <w:tcW w:w="718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June 30, 2020</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0.11</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this offeirng</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0.13</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7180" w:type="dxa"/>
            <w:vAlign w:val="bottom"/>
          </w:tcPr>
          <w:p>
            <w:pPr>
              <w:ind w:left="180"/>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table above assumes, for illustrative purposes, that an aggregate of 48,154,093 shares of our common stock are sold at a price of $0.623 per share, the last reported sale price of our common stock on the Nasdaq Capital Market on August 13, 2020, for aggregate gross proceeds of $30,000,000. The shares sold in this offering, if any, will be sold from time to time at various prices. An increase of $0.10 per share in the price at which the shares are sold from the assumed offering price of $0.62 per share shown in the table above, assuming all of our common stock in the aggregate amount of $30,000,000 during the term of the At Market Issuance Sales Agreement, or sales agreement, with Cantor Fitzgerald &amp; Co. and Oppenheimer &amp; Co. Inc., each an Agent, and together the Agents, is sold at that price, would increase our as adjusted net tangible book value per share after the offering to $0.25 per share and would increase the dilution in net tangible book value per share to new investors to $0.47 per share, after deducting commissions and estimated aggregate offering expenses payable by us. A decrease of $0.10 per share in the price at which the shares are sold from the assumed offering price of $0.62 per share shown in the table above, assuming all of our common stock in the aggregate amount of $30,000,000 during the term of the sales agreement with the Agents is sold at that price, would decrease our as adjusted net tangible book value per share after the offering to $0.23 per share and would decrease the dilution in net tangible book value per share to new investors to $0.29 per share, after deducting commissions and estimated aggregate offering expenses payable by us. This information is supplied for illustrative purposes only and may differ based on the actual offering price and the actual number of shares offered.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 are based on 135,006,644 shares of our common stock outstanding as of June 30, 2020, and exclude as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4,503,961 shares of common stock issuable upon the exercise of outstanding stock options as of June 30, 2020 at a weighted-average exercise price of $1.02 per share;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202,196 shares of common stock reserved for future issuance under our 2019 Equity Incentive Plan as of June 30, 2020, as well as any annual automatic increases in the number of shares of our common stock reserved for issuance under this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242,858 shares of common stock reserved for future issuance under our 2014 Stock Option Plan as of June 30,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left="980" w:right="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870,020 shares of common stock issuable upon the exercise of warrants outstanding as of June 30, 2020 at a weighted-average exercise price of $5.67 per share;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56 shares of common stock issuable upon conversion of preferred stock.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outstanding options or warrants are exercised,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entered into an At Market Issuance Sales Agreement, or sales agreement, with Cantor Fitzgerald &amp; Co. and Oppenheimer &amp; Co. Inc., each an Agent, and together the Agents, under which from time to time we may issue and sell shares of our common stock having an aggregate gross sales price of up to $30,000,000 through the Agents acting as sales agents. Sales of the shares of common stock, if any, may be made on the Nasdaq Capital Market at market prices and such other sales as agreed upon by us and the Agents. We have filed the sales agreement as an exhibit to a Current Report on Form 8-K, which is incorporated by reference in this prospectus.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Upon delivery of a placement notice and subject to the terms and conditions of the sales agreement, the Agents may offer and sell shares of our common stock by any method permitted by law deemed to be an “at the market offering” as defined in Rule 415(a)(4) promulgated under the Securities Act of 1933, as amended, or the Securities Act. We may instruct the Agents not to sell common stock if the sales cannot be effected at or above the price designated by us from time to time. We or the Agents may suspend or terminate this offering of our common stock upon notice and subject to other conditions.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will pay the Agents commissions, in cash, for their services in acting as sales agents in the sale of our common stock. The Agents will be entitled to a commission of 3.0% of the gross sales price per share sold under the sales agreement. Because there is no minimum offering amount required as a condition to this offering, the actual total public offering amount, commissions and proceeds to us, if any, are not determinable at this time. We have also agreed to reimburse a portion of the Agents’ expenses, including legal fees, in connection with this offering up to a maximum of $15,000. We estimate that the total expenses for the offering, excluding commissions and expense reimbursement payable to the Agents under the terms of the sales agreement, will be approximately $55,000.</w:t>
      </w:r>
    </w:p>
    <w:p>
      <w:pPr>
        <w:spacing w:after="0" w:line="192"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Settlement for sales of shares of our common stock will occur on the second trading day following the date on which any sales are made (or such earlier day as is industry practice for regular-way trading), or on some other date that is agreed upon by us and the Agents in connection with a particular transaction, in return for payment of the net proceeds to us. There is no arrangement for funds to be received in an escrow, trust or similar arrangement.</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Sales of our common stock as contemplated in this prospectus will be settled through the facilities of The Depository Trust Company or by such other means as we and the Agents may agree upon.</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Agents will act as our sales agents and use commercially reasonable efforts, consistent with its normal trading and sales practices. In connection with the sale of the common stock on our behalf, each of the Agents will be deemed to be an “underwriter” within the meaning of the Securities Act and the compensation of the Agents will be deemed to be underwriting commissions or discounts. We have agreed to provide indemnification and contribution to the Agents against certain civil liabilities, including liabilities under the Securities Act.</w:t>
      </w:r>
    </w:p>
    <w:p>
      <w:pPr>
        <w:spacing w:after="0" w:line="187"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offering of shares of our common stock pursuant to the sales agreement will terminate upon the earlier of (1) the sale of all shares of our common stock subject to the sales agreement, or (2) termination of the sales agreement as permitted therein. We and the Agents may each terminate the sales agreement at any time upon ten days’ prior notice.</w:t>
      </w:r>
    </w:p>
    <w:p>
      <w:pPr>
        <w:spacing w:after="0" w:line="18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Agents and their affiliates may in the future provide various investment banking, commercial banking and other financial services for us and our affiliates, for which services they may in the future receive customary fees. To the extent required by Regulation M, the Agents will not engage in any market making activities involving our common stock while the offering is ongoing under this prospectus.</w:t>
      </w:r>
    </w:p>
    <w:p>
      <w:pPr>
        <w:spacing w:after="0" w:line="184"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This prospectus in electronic format may be made available on a website maintained by the Agents and the Agents may distribute this prospectus electronically.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validity of the issuance of the common stock offered by this prospectus supplement will be passed upon for us by Troumant Pepper Hamilton Sanders LLP, Philadelphia, Pennsylvania. Cantor Fitzgerald &amp; Co. and Oppenheimer &amp; Co. Inc., are being represented in connection with this offering by Goodwin Procter LLP, New York, New York.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296" w:lineRule="auto"/>
        <w:rPr>
          <w:rFonts w:ascii="Arial" w:cs="Arial" w:eastAsia="Arial" w:hAnsi="Arial"/>
          <w:sz w:val="16"/>
          <w:szCs w:val="16"/>
          <w:color w:val="0000EE"/>
        </w:rPr>
      </w:pPr>
      <w:hyperlink r:id="rId18">
        <w:r>
          <w:rPr>
            <w:rFonts w:ascii="Arial" w:cs="Arial" w:eastAsia="Arial" w:hAnsi="Arial"/>
            <w:sz w:val="16"/>
            <w:szCs w:val="16"/>
            <w:color w:val="auto"/>
          </w:rPr>
          <w:t xml:space="preserve">The consolidated financial statements of Ocugen, Inc. appearing in Ocugen, Inc.’s </w:t>
        </w:r>
        <w:r>
          <w:rPr>
            <w:rFonts w:ascii="Arial" w:cs="Arial" w:eastAsia="Arial" w:hAnsi="Arial"/>
            <w:sz w:val="16"/>
            <w:szCs w:val="16"/>
            <w:u w:val="single" w:color="auto"/>
            <w:color w:val="0000EE"/>
          </w:rPr>
          <w:t>Annual Report (Form 10-K) for the year ended December 31,</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EE"/>
          </w:rPr>
          <w:t>2019</w:t>
        </w:r>
        <w:r>
          <w:rPr>
            <w:rFonts w:ascii="Arial" w:cs="Arial" w:eastAsia="Arial" w:hAnsi="Arial"/>
            <w:sz w:val="16"/>
            <w:szCs w:val="16"/>
            <w:color w:val="0000EE"/>
          </w:rPr>
          <w:t xml:space="preserve"> </w:t>
        </w:r>
        <w:r>
          <w:rPr>
            <w:rFonts w:ascii="Arial" w:cs="Arial" w:eastAsia="Arial" w:hAnsi="Arial"/>
            <w:sz w:val="16"/>
            <w:szCs w:val="16"/>
            <w:color w:val="000000"/>
          </w:rPr>
          <w:t>have been audited by Ernst &amp; Young LLP, the Company’s independent registered public accounting firm, as set forth in their report thereon (which</w:t>
        </w:r>
      </w:hyperlink>
      <w:r>
        <w:rPr>
          <w:rFonts w:ascii="Arial" w:cs="Arial" w:eastAsia="Arial" w:hAnsi="Arial"/>
          <w:sz w:val="16"/>
          <w:szCs w:val="16"/>
          <w:color w:val="0000EE"/>
        </w:rPr>
        <w:t xml:space="preserve"> </w:t>
      </w:r>
      <w:r>
        <w:rPr>
          <w:rFonts w:ascii="Arial" w:cs="Arial" w:eastAsia="Arial" w:hAnsi="Arial"/>
          <w:sz w:val="16"/>
          <w:szCs w:val="16"/>
          <w:color w:val="000000"/>
        </w:rPr>
        <w:t>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filed with the Securities and Exchange Commission, or SEC, a registration statement on Form S-3 under the Securities Act of 1933, as amended, with respect to the shares of common stock we are offering under this prospectus supplement. This prospectus supplement and the accompanying prospectus do not contain all of the information set forth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66"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are currently subject to the reporting requirements of the Exchange Act of 1934, or Exchange Act, and in accordance therewith files periodic reports, proxy statements and other information with the SEC. Our SEC filings are available to you on the SEC’s website at http://www.sec.gov and in the “Investor Relations” section of our website at www.ocugen.com. Our website and the information contained on that site, or connected to that site, are not incorporated into and are not a part of this prospectus supplement.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16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our Annual Report on Form 10-K for the year ended December 31, 2019, filed with the SEC on March 27, 2020;</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0"/>
          <w:numId w:val="7"/>
        </w:numPr>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our Amendment No. 1 to Annual Report on Form 10-K/A, filed with the SEC on April 29, 2020;</w:t>
        </w:r>
      </w:hyperlink>
    </w:p>
    <w:p>
      <w:pPr>
        <w:spacing w:after="0" w:line="225" w:lineRule="exact"/>
        <w:rPr>
          <w:rFonts w:ascii="Arial" w:cs="Arial" w:eastAsia="Arial" w:hAnsi="Arial"/>
          <w:sz w:val="18"/>
          <w:szCs w:val="18"/>
          <w:u w:val="single" w:color="auto"/>
          <w:color w:val="0000EE"/>
        </w:rPr>
      </w:pPr>
    </w:p>
    <w:p>
      <w:pPr>
        <w:ind w:left="980" w:right="540" w:hanging="324"/>
        <w:spacing w:after="0" w:line="277" w:lineRule="auto"/>
        <w:tabs>
          <w:tab w:leader="none" w:pos="980" w:val="left"/>
        </w:tabs>
        <w:numPr>
          <w:ilvl w:val="0"/>
          <w:numId w:val="7"/>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2020 and June 30, 2020, filed with the SEC on </w:t>
      </w:r>
      <w:hyperlink r:id="rId27">
        <w:r>
          <w:rPr>
            <w:rFonts w:ascii="Arial" w:cs="Arial" w:eastAsia="Arial" w:hAnsi="Arial"/>
            <w:sz w:val="18"/>
            <w:szCs w:val="18"/>
            <w:u w:val="single" w:color="auto"/>
            <w:color w:val="0000EE"/>
          </w:rPr>
          <w:t>May 8,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EE"/>
          </w:rPr>
          <w:t>August 14,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170" w:lineRule="exact"/>
        <w:rPr>
          <w:rFonts w:ascii="Arial" w:cs="Arial" w:eastAsia="Arial" w:hAnsi="Arial"/>
          <w:sz w:val="18"/>
          <w:szCs w:val="18"/>
          <w:color w:val="0000EE"/>
        </w:rPr>
      </w:pPr>
    </w:p>
    <w:p>
      <w:pPr>
        <w:ind w:left="980" w:right="200" w:hanging="324"/>
        <w:spacing w:after="0" w:line="277" w:lineRule="auto"/>
        <w:tabs>
          <w:tab w:leader="none" w:pos="980" w:val="left"/>
        </w:tabs>
        <w:numPr>
          <w:ilvl w:val="0"/>
          <w:numId w:val="7"/>
        </w:numPr>
        <w:rPr>
          <w:rFonts w:ascii="Arial" w:cs="Arial" w:eastAsia="Arial" w:hAnsi="Arial"/>
          <w:sz w:val="18"/>
          <w:szCs w:val="18"/>
          <w:color w:val="0000EE"/>
        </w:rPr>
      </w:pPr>
      <w:hyperlink r:id="rId29">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9,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22,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0">
        <w:r>
          <w:rPr>
            <w:rFonts w:ascii="Arial" w:cs="Arial" w:eastAsia="Arial" w:hAnsi="Arial"/>
            <w:sz w:val="18"/>
            <w:szCs w:val="18"/>
            <w:u w:val="single" w:color="auto"/>
            <w:color w:val="0000EE"/>
          </w:rPr>
          <w:t>June 12, 2020</w:t>
        </w:r>
      </w:hyperlink>
      <w:hyperlink r:id="rId2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1">
        <w:r>
          <w:rPr>
            <w:rFonts w:ascii="Arial" w:cs="Arial" w:eastAsia="Arial" w:hAnsi="Arial"/>
            <w:sz w:val="18"/>
            <w:szCs w:val="18"/>
            <w:u w:val="single" w:color="auto"/>
            <w:color w:val="0000EE"/>
          </w:rPr>
          <w:t>June 16, 2020</w:t>
        </w:r>
      </w:hyperlink>
      <w:hyperlink r:id="rId2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2">
        <w:r>
          <w:rPr>
            <w:rFonts w:ascii="Arial" w:cs="Arial" w:eastAsia="Arial" w:hAnsi="Arial"/>
            <w:sz w:val="18"/>
            <w:szCs w:val="18"/>
            <w:u w:val="single" w:color="auto"/>
            <w:color w:val="0000EE"/>
          </w:rPr>
          <w:t>July 28, 2020</w:t>
        </w:r>
      </w:hyperlink>
      <w:hyperlink r:id="rId2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3">
        <w:r>
          <w:rPr>
            <w:rFonts w:ascii="Arial" w:cs="Arial" w:eastAsia="Arial" w:hAnsi="Arial"/>
            <w:sz w:val="18"/>
            <w:szCs w:val="18"/>
            <w:u w:val="single" w:color="auto"/>
            <w:color w:val="0000EE"/>
          </w:rPr>
          <w:t xml:space="preserve">August 10, 2020 </w:t>
        </w:r>
      </w:hyperlink>
      <w:hyperlink r:id="rId29">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August 14, 2020</w:t>
        </w:r>
      </w:hyperlink>
      <w:hyperlink r:id="rId29">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left="980" w:right="640" w:hanging="324"/>
        <w:spacing w:after="0" w:line="342" w:lineRule="auto"/>
        <w:tabs>
          <w:tab w:leader="none" w:pos="980" w:val="left"/>
        </w:tabs>
        <w:numPr>
          <w:ilvl w:val="0"/>
          <w:numId w:val="7"/>
        </w:numPr>
        <w:rPr>
          <w:rFonts w:ascii="Arial" w:cs="Arial" w:eastAsia="Arial" w:hAnsi="Arial"/>
          <w:sz w:val="16"/>
          <w:szCs w:val="16"/>
          <w:u w:val="single" w:color="auto"/>
          <w:color w:val="0000EE"/>
        </w:rPr>
      </w:pPr>
      <w:hyperlink r:id="rId34">
        <w:r>
          <w:rPr>
            <w:rFonts w:ascii="Arial" w:cs="Arial" w:eastAsia="Arial" w:hAnsi="Arial"/>
            <w:sz w:val="16"/>
            <w:szCs w:val="16"/>
            <w:u w:val="single" w:color="auto"/>
            <w:color w:val="0000EE"/>
          </w:rPr>
          <w:t>the description of our common stock contained in our registration statement on Form 8-A (File No. 001-36751) filed with the SEC on</w:t>
        </w:r>
      </w:hyperlink>
      <w:r>
        <w:rPr>
          <w:rFonts w:ascii="Arial" w:cs="Arial" w:eastAsia="Arial" w:hAnsi="Arial"/>
          <w:sz w:val="16"/>
          <w:szCs w:val="16"/>
          <w:u w:val="single" w:color="auto"/>
          <w:color w:val="0000EE"/>
        </w:rPr>
        <w:t xml:space="preserve"> </w:t>
      </w:r>
      <w:hyperlink r:id="rId34">
        <w:r>
          <w:rPr>
            <w:rFonts w:ascii="Arial" w:cs="Arial" w:eastAsia="Arial" w:hAnsi="Arial"/>
            <w:sz w:val="16"/>
            <w:szCs w:val="16"/>
            <w:u w:val="single" w:color="auto"/>
            <w:color w:val="0000EE"/>
          </w:rPr>
          <w:t>November 18, 2014, under the Exchange Act, including any amendment or report filed for the purpose of updating such description.</w:t>
        </w:r>
      </w:hyperlink>
    </w:p>
    <w:p>
      <w:pPr>
        <w:spacing w:after="0" w:line="340"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648"/>
        <w:spacing w:after="0" w:line="270" w:lineRule="auto"/>
        <w:rPr>
          <w:sz w:val="20"/>
          <w:szCs w:val="20"/>
          <w:color w:val="auto"/>
        </w:rPr>
      </w:pPr>
      <w:r>
        <w:rPr>
          <w:rFonts w:ascii="Arial" w:cs="Arial" w:eastAsia="Arial" w:hAnsi="Arial"/>
          <w:sz w:val="17"/>
          <w:szCs w:val="17"/>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this prospectus supplement, until we file a post-effective amendment to the applicable registration statement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 or phone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Ocugen,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 Great Valley Parkway, Suite 160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Malvern, Pennsylvania, 19355</w:t>
      </w:r>
    </w:p>
    <w:p>
      <w:pPr>
        <w:spacing w:after="0" w:line="9" w:lineRule="exact"/>
        <w:rPr>
          <w:sz w:val="20"/>
          <w:szCs w:val="20"/>
          <w:color w:val="auto"/>
        </w:rPr>
      </w:pPr>
    </w:p>
    <w:p>
      <w:pPr>
        <w:ind w:left="5460" w:right="5020" w:hanging="398"/>
        <w:spacing w:after="0" w:line="887" w:lineRule="auto"/>
        <w:tabs>
          <w:tab w:leader="none" w:pos="5503" w:val="left"/>
        </w:tabs>
        <w:numPr>
          <w:ilvl w:val="0"/>
          <w:numId w:val="8"/>
        </w:numPr>
        <w:rPr>
          <w:rFonts w:ascii="Arial" w:cs="Arial" w:eastAsia="Arial" w:hAnsi="Arial"/>
          <w:sz w:val="16"/>
          <w:szCs w:val="16"/>
          <w:color w:val="auto"/>
        </w:rPr>
      </w:pPr>
      <w:r>
        <w:rPr>
          <w:rFonts w:ascii="Arial" w:cs="Arial" w:eastAsia="Arial" w:hAnsi="Arial"/>
          <w:sz w:val="16"/>
          <w:szCs w:val="16"/>
          <w:color w:val="auto"/>
        </w:rPr>
        <w:t>328-4701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154305</wp:posOffset>
            </wp:positionV>
            <wp:extent cx="2185670" cy="626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21856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may offer and sell up to $75,000,000 in the aggregate of the securities identified above from time to time in one or more offerings. This prospectus provides a general description of the securities that we may offer and sell.</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Each time that we offer securities under this prospectus, we will provide the specific terms of the securities offered, including the public offering price, in a supplement to this prospectus. Any prospectus supplement may add to, update or change information contained in this prospectus. You should read this prospectus and any applicable prospectus supplement together with additional information described under the heading “Where You Can Find More Information” before you make your investment decision.</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common stock is traded on The NASDAQ Capital Market, or NASDAQ, under the symbol “OCGN.” On March 26, 2020, the closing sale price of our common stock on NASDAQ was $0.35 per share. The applicable prospectus supplement will contain information, where applicable, as to other listings, if any, on NASDAQ or any other securities exchange of the securities covered by the applicable prospectus supplement.</w:t>
      </w:r>
    </w:p>
    <w:p>
      <w:pPr>
        <w:spacing w:after="0" w:line="16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March 26, 2020, the aggregate market value of our outstanding common stock held by non-affiliates pursuant to General Instruction I.B.6 of Form S-3 was approximately $29.2 million, which is based on 46,397,047 shares of common stock held by non-affiliates as of such date and a price of $0.63 per share, the closing price of our common stock on January 28, 2020. Pursuant to General Instruction I.B.6 of Form S-3, in no event will we sell securities registered on the registration statement of which this prospectus is a part with a value of more than one-third of the aggregate market value of our common stock held by non-affiliates in any 12-month period, so long as the aggregate market value of our common stock held by non-affiliates is less than $75,000,000. As of the date hereof, we have not offered any securities pursuant to General Instruction I.B.6 of Form S-3 during the 12 calendar months prior to and including the date of this prospectus.</w:t>
      </w:r>
    </w:p>
    <w:p>
      <w:pPr>
        <w:spacing w:after="0" w:line="191" w:lineRule="exact"/>
        <w:rPr>
          <w:sz w:val="20"/>
          <w:szCs w:val="20"/>
          <w:color w:val="auto"/>
        </w:rPr>
      </w:pPr>
    </w:p>
    <w:p>
      <w:pPr>
        <w:jc w:val="both"/>
        <w:ind w:right="400" w:firstLine="648"/>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Risks associated with an investment in our securities will be described in the applicable prospectus supplement and certain of our filings with the Securities and Exchange Commission incorporated by reference into this prospectus, as described under “Risk Factors” on page 6.</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8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ABOUT THIS PROSPECTUS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WHERE YOU CAN FIND MORE INFORMATION</w:t>
              </w:r>
            </w:hyperlink>
          </w:p>
        </w:tc>
        <w:tc>
          <w:tcPr>
            <w:tcW w:w="24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INCORPORATION OF CERTAIN INFORMATION BY REFERENCE</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ABOUT OCUGEN, INC.</w:t>
              </w:r>
            </w:hyperlink>
          </w:p>
        </w:tc>
        <w:tc>
          <w:tcPr>
            <w:tcW w:w="242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SPECIAL NOTE REGARDING FORWARD LOOKING STATEMENTS</w:t>
              </w:r>
            </w:hyperlink>
          </w:p>
        </w:tc>
        <w:tc>
          <w:tcPr>
            <w:tcW w:w="24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USE OF PROCEEDS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CAPITAL STOCK</w:t>
              </w:r>
            </w:hyperlink>
          </w:p>
        </w:tc>
        <w:tc>
          <w:tcPr>
            <w:tcW w:w="242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DESCRIPTION OF DEBT SECURITIES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WARRANTS</w:t>
              </w:r>
            </w:hyperlink>
          </w:p>
        </w:tc>
        <w:tc>
          <w:tcPr>
            <w:tcW w:w="242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UNITS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GLOBAL SECURITIES</w:t>
              </w:r>
            </w:hyperlink>
          </w:p>
        </w:tc>
        <w:tc>
          <w:tcPr>
            <w:tcW w:w="2420" w:type="dxa"/>
            <w:vAlign w:val="bottom"/>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PLAN OF DISTRIBUTION</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MATTERS</w:t>
              </w:r>
            </w:hyperlink>
          </w:p>
        </w:tc>
        <w:tc>
          <w:tcPr>
            <w:tcW w:w="242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EXPERTS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utilizing a “shelf” registration process. Under this shelf registration process, we may offer and sell, either individually or in combination, in one or more offerings, up to a total dollar amount of $75,000,000 of any combination of the securities described in this prospectus. This prospectus provides you only with a general description of the securities that we may offer and sell. Each time securities are offered and sold under this shelf registration statement, we will provide a prospectus supplement that will contain specific information about the terms of those securities and the terms of that offering, including the type and number of securities being offered, the offering price, the names of any underwriters, dealers, brokers or agents and the applicable sales commission or discount. We may also authorize one or more free writing prospectuses to be provided to you that may contain material information relating to these offerings. The prospectus supplement and any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carefully the entire prospectus and any accompanying prospectus supplement or related free writing prospectus, as well as the documents incorporated by reference into this prospectus and/or any prospectus supplement, before making an investment decision. Please also read the additional information described under “Where You Can Find More Information” below.</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We have not authorized any dealer, agent or other person to give any information or to make any representation other than those contained or incorporated by reference in this prospectus and any accompanying prospectus supplement or related free writing prospectus. You must not rely upon any information or representation not contained or incorporated by reference in this prospectus or an accompanying prospectus supplement or related free writing prospectus. This prospectus and the accompanying prospectus supplement and related free writing prospectus, if any, do not constitute an offer to sell or the solicitation of an offer to buy any securities other than the registered securities to which they relate, nor do this prospectus and the accompanying prospectus supplement and related free writing prospectus, if any, constitute an offer to sell or the solicitation of an offer to buy securities in any jurisdiction to any person to whom it is unlawful to make such offer or solicitation in such jurisdiction.</w:t>
      </w:r>
    </w:p>
    <w:p>
      <w:pPr>
        <w:spacing w:after="0" w:line="172"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You should assume that the information appearing in this prospectus and the accompanying prospectus supplement is accurate only as of the date on its respective cover, that the information appearing in any related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5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74"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b w:val="1"/>
          <w:bCs w:val="1"/>
          <w:color w:val="auto"/>
        </w:rPr>
        <w:t>Unless the context otherwise requires, references in this prospectus to “Ocugen,” the “Company,” the “combined company” “we,” “our” or “us” refer to Ocugen, Inc. (formerly known as Histogenics Corporation) and its subsidiaries, references to “Ocugen” refer to the Company following the completion of the Merger (defined below), references to “Histogenics” refer to the Company prior to the completion of the Merger, references to “Former Ocugen” refer to Ocugen, Inc., a privately held corporation prior to the completion of the Merger, and references to “OpCo” refer to Ocugen OpCo, Inc., the Company’s wholly owned subsidiary following the Merger. See “About Ocugen, Inc.—Company Information.”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currently subject to the reporting requirements of the Exchange Act, and in accordance therewith files periodic reports, proxy statements and other information with the SEC. Our SEC filings are available to you on the SEC’s website at http://www.sec.gov and in the “Investor Relations” section of our website at www.ocugen.com. Our website and the information contained on that site, or connected to that site, are not incorporated into and are not a part of this prospectus.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16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Our Annual Report on Form 10-K for the year ended December 31, 2019 filed with the SEC on March 27, 2020;</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0"/>
          <w:numId w:val="9"/>
        </w:numPr>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Our Current Report on Form 8-K filed with the SEC on January 3, 2020; and</w:t>
        </w:r>
      </w:hyperlink>
    </w:p>
    <w:p>
      <w:pPr>
        <w:spacing w:after="0" w:line="225" w:lineRule="exact"/>
        <w:rPr>
          <w:rFonts w:ascii="Arial" w:cs="Arial" w:eastAsia="Arial" w:hAnsi="Arial"/>
          <w:sz w:val="18"/>
          <w:szCs w:val="18"/>
          <w:u w:val="single" w:color="auto"/>
          <w:color w:val="0000EE"/>
        </w:rPr>
      </w:pPr>
    </w:p>
    <w:p>
      <w:pPr>
        <w:ind w:left="980" w:right="580" w:hanging="324"/>
        <w:spacing w:after="0" w:line="342" w:lineRule="auto"/>
        <w:tabs>
          <w:tab w:leader="none" w:pos="980" w:val="left"/>
        </w:tabs>
        <w:numPr>
          <w:ilvl w:val="0"/>
          <w:numId w:val="9"/>
        </w:numPr>
        <w:rPr>
          <w:rFonts w:ascii="Arial" w:cs="Arial" w:eastAsia="Arial" w:hAnsi="Arial"/>
          <w:sz w:val="16"/>
          <w:szCs w:val="16"/>
          <w:u w:val="single" w:color="auto"/>
          <w:color w:val="0000EE"/>
        </w:rPr>
      </w:pPr>
      <w:hyperlink r:id="rId34">
        <w:r>
          <w:rPr>
            <w:rFonts w:ascii="Arial" w:cs="Arial" w:eastAsia="Arial" w:hAnsi="Arial"/>
            <w:sz w:val="16"/>
            <w:szCs w:val="16"/>
            <w:u w:val="single" w:color="auto"/>
            <w:color w:val="0000EE"/>
          </w:rPr>
          <w:t>The description of our common stock contained in our registration statement on Form 8-A (File No. 001-36751) filed with the SEC on</w:t>
        </w:r>
      </w:hyperlink>
      <w:r>
        <w:rPr>
          <w:rFonts w:ascii="Arial" w:cs="Arial" w:eastAsia="Arial" w:hAnsi="Arial"/>
          <w:sz w:val="16"/>
          <w:szCs w:val="16"/>
          <w:u w:val="single" w:color="auto"/>
          <w:color w:val="0000EE"/>
        </w:rPr>
        <w:t xml:space="preserve"> </w:t>
      </w:r>
      <w:hyperlink r:id="rId34">
        <w:r>
          <w:rPr>
            <w:rFonts w:ascii="Arial" w:cs="Arial" w:eastAsia="Arial" w:hAnsi="Arial"/>
            <w:sz w:val="16"/>
            <w:szCs w:val="16"/>
            <w:u w:val="single" w:color="auto"/>
            <w:color w:val="0000EE"/>
          </w:rPr>
          <w:t>November 18, 2014, under the Exchange Act, including any amendment or report filed for the purpose of updating such description.</w:t>
        </w:r>
      </w:hyperlink>
    </w:p>
    <w:p>
      <w:pPr>
        <w:spacing w:after="0" w:line="124" w:lineRule="exact"/>
        <w:rPr>
          <w:rFonts w:ascii="Arial" w:cs="Arial" w:eastAsia="Arial" w:hAnsi="Arial"/>
          <w:sz w:val="16"/>
          <w:szCs w:val="16"/>
          <w:u w:val="single" w:color="auto"/>
          <w:color w:val="0000EE"/>
        </w:rPr>
      </w:pPr>
    </w:p>
    <w:p>
      <w:pPr>
        <w:ind w:right="60" w:firstLine="648"/>
        <w:spacing w:after="0" w:line="289" w:lineRule="auto"/>
        <w:rPr>
          <w:sz w:val="20"/>
          <w:szCs w:val="20"/>
          <w:color w:val="auto"/>
        </w:rPr>
      </w:pPr>
      <w:r>
        <w:rPr>
          <w:rFonts w:ascii="Arial" w:cs="Arial" w:eastAsia="Arial" w:hAnsi="Arial"/>
          <w:sz w:val="16"/>
          <w:szCs w:val="16"/>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6" w:lineRule="exact"/>
        <w:rPr>
          <w:rFonts w:ascii="Arial" w:cs="Arial" w:eastAsia="Arial" w:hAnsi="Arial"/>
          <w:sz w:val="16"/>
          <w:szCs w:val="16"/>
          <w:u w:val="single" w:color="auto"/>
          <w:color w:val="0000EE"/>
        </w:rPr>
      </w:pPr>
    </w:p>
    <w:p>
      <w:pPr>
        <w:ind w:right="340" w:firstLine="648"/>
        <w:spacing w:after="0" w:line="277"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 or phone number:</w:t>
      </w:r>
    </w:p>
    <w:p>
      <w:pPr>
        <w:spacing w:after="0" w:line="170"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8"/>
          <w:szCs w:val="18"/>
          <w:color w:val="auto"/>
        </w:rPr>
        <w:t>Ocugen, Inc.</w:t>
      </w:r>
    </w:p>
    <w:p>
      <w:pPr>
        <w:spacing w:after="0" w:line="23"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8"/>
          <w:szCs w:val="18"/>
          <w:color w:val="auto"/>
        </w:rPr>
        <w:t>5 Great Valley Parkway, Suite 160</w:t>
      </w:r>
    </w:p>
    <w:p>
      <w:pPr>
        <w:spacing w:after="0" w:line="9"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8"/>
          <w:szCs w:val="18"/>
          <w:color w:val="auto"/>
        </w:rPr>
        <w:t>Malvern, Pennsylvania, 19355</w:t>
      </w:r>
    </w:p>
    <w:p>
      <w:pPr>
        <w:spacing w:after="0" w:line="9" w:lineRule="exact"/>
        <w:rPr>
          <w:rFonts w:ascii="Arial" w:cs="Arial" w:eastAsia="Arial" w:hAnsi="Arial"/>
          <w:sz w:val="16"/>
          <w:szCs w:val="16"/>
          <w:u w:val="single" w:color="auto"/>
          <w:color w:val="0000EE"/>
        </w:rPr>
      </w:pPr>
    </w:p>
    <w:p>
      <w:pPr>
        <w:ind w:left="5500" w:hanging="438"/>
        <w:spacing w:after="0"/>
        <w:tabs>
          <w:tab w:leader="none" w:pos="5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328-4701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ABOUT OCUGEN,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a clinical-stage biopharmaceutical company focused on discovering, developing and commercializing transformative therapies to treat the whole eye.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focused on three waves of technological innovations that target the back and front of the eye: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therapies that target the back of the eye:</w:t>
      </w:r>
    </w:p>
    <w:p>
      <w:pPr>
        <w:spacing w:after="0" w:line="221" w:lineRule="exact"/>
        <w:rPr>
          <w:sz w:val="20"/>
          <w:szCs w:val="20"/>
          <w:color w:val="auto"/>
        </w:rPr>
      </w:pPr>
    </w:p>
    <w:p>
      <w:pPr>
        <w:ind w:left="980" w:right="12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Modifier Gene Therapy Platform</w:t>
      </w:r>
      <w:r>
        <w:rPr>
          <w:rFonts w:ascii="Arial" w:cs="Arial" w:eastAsia="Arial" w:hAnsi="Arial"/>
          <w:sz w:val="18"/>
          <w:szCs w:val="18"/>
          <w:color w:val="auto"/>
        </w:rPr>
        <w:t>—Based on nuclear hormone receptors, we believe our gene therapy platform has the potential to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many retinal diseases, including retinitis pigmentosa, or RP, with one product.</w:t>
      </w:r>
    </w:p>
    <w:p>
      <w:pPr>
        <w:spacing w:after="0" w:line="161" w:lineRule="exact"/>
        <w:rPr>
          <w:rFonts w:ascii="Arial" w:cs="Arial" w:eastAsia="Arial" w:hAnsi="Arial"/>
          <w:sz w:val="18"/>
          <w:szCs w:val="18"/>
          <w:color w:val="auto"/>
        </w:rPr>
      </w:pPr>
    </w:p>
    <w:p>
      <w:pPr>
        <w:ind w:left="980" w:right="10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Novel Biologic Therapies for Retinal Diseases</w:t>
      </w:r>
      <w:r>
        <w:rPr>
          <w:rFonts w:ascii="Arial" w:cs="Arial" w:eastAsia="Arial" w:hAnsi="Arial"/>
          <w:sz w:val="18"/>
          <w:szCs w:val="18"/>
          <w:color w:val="auto"/>
        </w:rPr>
        <w:t>—We are developing OCU200, which is being developed to treat diabetic macular edema, or</w:t>
      </w:r>
      <w:r>
        <w:rPr>
          <w:rFonts w:ascii="Arial" w:cs="Arial" w:eastAsia="Arial" w:hAnsi="Arial"/>
          <w:sz w:val="18"/>
          <w:szCs w:val="18"/>
          <w:b w:val="1"/>
          <w:bCs w:val="1"/>
          <w:color w:val="auto"/>
        </w:rPr>
        <w:t xml:space="preserve"> </w:t>
      </w:r>
      <w:r>
        <w:rPr>
          <w:rFonts w:ascii="Arial" w:cs="Arial" w:eastAsia="Arial" w:hAnsi="Arial"/>
          <w:sz w:val="18"/>
          <w:szCs w:val="18"/>
          <w:color w:val="auto"/>
        </w:rPr>
        <w:t>DME, diabetic retinopathy, or DR, and wet age-related macular degeneration, or wet AMD.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therapy that targets the front of the eye:</w:t>
      </w:r>
    </w:p>
    <w:p>
      <w:pPr>
        <w:spacing w:after="0" w:line="221" w:lineRule="exact"/>
        <w:rPr>
          <w:sz w:val="20"/>
          <w:szCs w:val="20"/>
          <w:color w:val="auto"/>
        </w:rPr>
      </w:pPr>
    </w:p>
    <w:p>
      <w:pPr>
        <w:ind w:left="980" w:right="540" w:hanging="324"/>
        <w:spacing w:after="0" w:line="28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Small Molecule Phase 3 Rare Disease Asset</w:t>
      </w:r>
      <w:r>
        <w:rPr>
          <w:rFonts w:ascii="Arial" w:cs="Arial" w:eastAsia="Arial" w:hAnsi="Arial"/>
          <w:sz w:val="18"/>
          <w:szCs w:val="18"/>
          <w:color w:val="auto"/>
        </w:rPr>
        <w:t>—Our OCU300 product candidate is in Phase 3 clinical development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associated with ocular graft-versus-host disease, or oGVHD.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Modifier Gene Therapy Platform</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We are developing a modifier gene therapy platform to generate therapies designed to fulfill unmet medical needs in the area of retinal diseases, including inherited retinal diseases, or IRDs. Our modifier gene therapy platform is based on nuclear hormone receptors, or NHRs, which have the potential to restore homeostasis, the basic biological processes in the retina. Unlike single-gene replacement therapies, which only target one genetic mutation, we believe that our gene therapy platform, through its use of NHRs, represents a novel approach in that it may address multiple retinal diseases with one product. IRDs such as RP affect over 1.5 million people worldwide. Over 150 gene mutations have been associated with RP and this number represents only 60% of the RP population. The remaining 40% of RP patients cannot be genetically diagnosed, making it difficult to develop individual treatments. OCU400 has the potential to eliminate the need for developing more than 150 individual products and provide one treatment option for all RP patients. Our first gene therapy candidate, OCU400, received two orphan drug designations, or ODDs, from the Food and Drug Administration, or FDA, one for the treatment of </w:t>
      </w:r>
      <w:r>
        <w:rPr>
          <w:rFonts w:ascii="Arial" w:cs="Arial" w:eastAsia="Arial" w:hAnsi="Arial"/>
          <w:sz w:val="17"/>
          <w:szCs w:val="17"/>
          <w:i w:val="1"/>
          <w:iCs w:val="1"/>
          <w:color w:val="auto"/>
        </w:rPr>
        <w:t>NR2E3</w:t>
      </w:r>
      <w:r>
        <w:rPr>
          <w:rFonts w:ascii="Arial" w:cs="Arial" w:eastAsia="Arial" w:hAnsi="Arial"/>
          <w:sz w:val="17"/>
          <w:szCs w:val="17"/>
          <w:color w:val="auto"/>
        </w:rPr>
        <w:t xml:space="preserve"> mutation-associated retinal diseases and the other for the treatment of </w:t>
      </w:r>
      <w:r>
        <w:rPr>
          <w:rFonts w:ascii="Arial" w:cs="Arial" w:eastAsia="Arial" w:hAnsi="Arial"/>
          <w:sz w:val="17"/>
          <w:szCs w:val="17"/>
          <w:i w:val="1"/>
          <w:iCs w:val="1"/>
          <w:color w:val="auto"/>
        </w:rPr>
        <w:t>CEP290</w:t>
      </w:r>
      <w:r>
        <w:rPr>
          <w:rFonts w:ascii="Arial" w:cs="Arial" w:eastAsia="Arial" w:hAnsi="Arial"/>
          <w:sz w:val="17"/>
          <w:szCs w:val="17"/>
          <w:color w:val="auto"/>
        </w:rPr>
        <w:t xml:space="preserve"> mutation-associated retinal diseases. We are planning to initiate a Phase 1/2a clinical trial for OCU400 in 2021. Our second gene therapy candidate, OCU410, is being developed to utilize the nuclear receptor genes RAR-related orphan receptor A for the treatment of dry age-related macular degeneration, or dry AMD. This candidate is currently in preclinical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Biologic Therapies for Retinal Diseases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are conducting preclinical development for a novel biologic product candidate, OCU200. OCU200 is a novel fusion protein designed to treat DME, DR and wet AMD. We expect to initiate a Phase 1/2 clinical trial for OCU200 within the next two years. We plan to expand the therapeutic applications of OCU200 beyond DME, DR and wet AMD to potentially include macular edema following retinal vein occlusion and myopic choroidal neovascularization.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Small Molecule Phase 3 Rare Disease Asset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also developing OCU300, which is a small molecule therapeutic currently in Phase 3 clinical development for patients with oGVHD. OCU300 is a brimonidine tartrate eye drop formulated as a topical nanoemulsion. As of March 1, 2020, we had completed over 70% of planned enrollment of our Phase 3 clinical trial for OCU300. OCU300 has received ODD from the FDA, and it is the first and only product candidate to receive that designation for the treatment of symptoms associated with oGVHD. oGVHD, a severe chronic autoimmune disease that occurs in up to 60% of patients receiving hematopoietic stem cell transplantation from donors, referred to as allogeneic HSCT, can result in light sensitivity, excessive ocular redness, severe ocular pain and, ultimately, vision impairment. We estimate the current prevalence of patients suffering from oGVHD in the United States to be approximately 63,000. OCU300 is formulated using our proprietary nanoemulsion technology, OcuNanoE™—Ocugen’s ONE Platform™, or OcuNanoE™, which we believe represents an effective drug delivery mechanism to treat ocular surface disorders. We believe that OcuNanoE™ provides additional protection to the ocular surface and the potential for enhanced efficacy compared to traditional formulations. OcuNanoE™ nanoemulsion was developed to decrease the drainage rate, prolong precorneal residence time and increase the drug concentration in the lacrimal gland, which is critical for tear film production. We are the first and only company to use nanoemulsion technology in the ophthalmology space.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On September 27, 2019, we completed our reverse merger, or the Merger, with Ocugen OpCo Inc. (formerly known as Ocugen, Inc., or Former Ocugen) in accordance with the terms of the Agreement and Plan of Merger and Reorganization, dated as of April 5, 2019, by and among Former Ocugen, Restore Merger Sub, Inc., our wholly owned subsidiary, or Merger Sub, and us, as amended, or the Merger Agreement, pursuant to which Merger Sub merged with and into Former Ocugen, with Former Ocugen surviving as our wholly owned subsidiary. Immediately after completion of the Merger, we changed our name to Ocugen, Inc. and the business conducted by us became the business conducted by Former Ocugen.</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“OCGN.” Our global headquarters are located at 5 Great Valley Parkway, Suite 160, Malvern, PA 19355 and our telephone number is (484) 328-4701. Our website address is www.ocugen.com. The content contained in, or that can be accessed through, our website is not part of this prospectus. See “Where You Can Find More Information” and “Incorporation of Information by Reference.”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86" w:lineRule="auto"/>
        <w:rPr>
          <w:rFonts w:ascii="Arial" w:cs="Arial" w:eastAsia="Arial" w:hAnsi="Arial"/>
          <w:sz w:val="16"/>
          <w:szCs w:val="16"/>
          <w:color w:val="0000EE"/>
        </w:rPr>
      </w:pPr>
      <w:r>
        <w:rPr>
          <w:rFonts w:ascii="Arial" w:cs="Arial" w:eastAsia="Arial" w:hAnsi="Arial"/>
          <w:sz w:val="16"/>
          <w:szCs w:val="16"/>
          <w:color w:val="auto"/>
        </w:rPr>
        <w:t xml:space="preserve">Investing in our securities involves a high degree of risk. Before deciding whether to invest in our securities, you should consider carefully the risks and uncertainties described under the heading “Risk Factors” contained in the accompanying prospectus supplement and any related free writing </w:t>
      </w:r>
      <w:hyperlink r:id="rId18">
        <w:r>
          <w:rPr>
            <w:rFonts w:ascii="Arial" w:cs="Arial" w:eastAsia="Arial" w:hAnsi="Arial"/>
            <w:sz w:val="16"/>
            <w:szCs w:val="16"/>
            <w:color w:val="auto"/>
          </w:rPr>
          <w:t xml:space="preserve">prospectus, and discussed in the section titled “Risk Factors” contained in our most recent </w:t>
        </w:r>
        <w:r>
          <w:rPr>
            <w:rFonts w:ascii="Arial" w:cs="Arial" w:eastAsia="Arial" w:hAnsi="Arial"/>
            <w:sz w:val="16"/>
            <w:szCs w:val="16"/>
            <w:u w:val="single" w:color="auto"/>
            <w:color w:val="0000EE"/>
          </w:rPr>
          <w:t>Annual Report on Form 10-K for the year ended December 31,</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EE"/>
          </w:rPr>
          <w:t>2019</w:t>
        </w:r>
        <w:r>
          <w:rPr>
            <w:rFonts w:ascii="Arial" w:cs="Arial" w:eastAsia="Arial" w:hAnsi="Arial"/>
            <w:sz w:val="16"/>
            <w:szCs w:val="16"/>
            <w:color w:val="000000"/>
          </w:rPr>
          <w:t>, as well as any amendments thereto reflected in subsequent filings with the SEC, which are incorporated by reference into this prospectus in their</w:t>
        </w:r>
      </w:hyperlink>
      <w:r>
        <w:rPr>
          <w:rFonts w:ascii="Arial" w:cs="Arial" w:eastAsia="Arial" w:hAnsi="Arial"/>
          <w:sz w:val="16"/>
          <w:szCs w:val="16"/>
          <w:color w:val="0000EE"/>
        </w:rPr>
        <w:t xml:space="preserve"> </w:t>
      </w:r>
      <w:r>
        <w:rPr>
          <w:rFonts w:ascii="Arial" w:cs="Arial" w:eastAsia="Arial" w:hAnsi="Arial"/>
          <w:sz w:val="16"/>
          <w:szCs w:val="16"/>
          <w:color w:val="000000"/>
        </w:rPr>
        <w:t>entirety, together with other information in this prospectus, our quarterly reports, and documents incorporated by reference and any free writing prospectus that we may authorize for use in connection with this offering. See “Where You Can Find More Information.” The risks described in the Annual Report and such subsequent filings are not the only risks that we face. Additional risks not presently known to us or that we do not currently consider significant may also have an adverse effect on us. If any of the risks actually occur, our business, results of operations, cash flows or financial condition could suffer. We cannot assure you that any of the events discussed in the risk factors will not occur. These risks could have a material and adverse impact on our business, results of operations, financial condition and cash flows and if so our future prospects would likely be materially and adversely affected. If any of such events were to happen, the trading price and value of our securities could decline, and you could lose all or part of your investment. You should understand that it is not possible to predict or identify all such risks. Consequently, you should not consider the risk factors to be a complete discussion of all potential risks or uncertainties. Please also read carefully the section below titled “Special Note Regarding Forward-Looking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that involve substantial risks and uncertainties. All statements, other than statements of historical facts, included in this prospectus and the documents incorporated by reference herein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prospectus and the documents incorporated by reference herein include, among other things,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21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timing and availability of and the need for additional financing;</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sufficient additional capital to continue to advance our product candidates and preclinical programs;</w:t>
      </w:r>
    </w:p>
    <w:p>
      <w:pPr>
        <w:spacing w:after="0" w:line="225"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any value from product candidates and preclinical programs being developed and anticipated to be developed in light of inherent risks and difficulties involved in successfully bringing product candidates to market and the risk that products will not achieve broad market acceptance;</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in obtaining successful clinical results for product candidates and unexpected costs that may result therefrom;</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regulatory schemes applicable to our business and other regulatory developments in the United States and foreign countries;</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uncertainties associated with the clinical development and regulatory approval of product candidates, including potential delays in the commencement, enrollment and completion of clinical trials;</w:t>
      </w:r>
    </w:p>
    <w:p>
      <w:pPr>
        <w:spacing w:after="0" w:line="170"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third-parties upon which we depend, including third-party contract research organizations, and third-party suppliers, manufacturers, group purchasing organizations, distributors and logistics providers;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relationships, profitability and contracts with our key commercial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recruit or retain key scientific, technical, commercial, and management personnel or to retain our executive officers;</w:t>
      </w:r>
    </w:p>
    <w:p>
      <w:pPr>
        <w:spacing w:after="0" w:line="225" w:lineRule="exact"/>
        <w:rPr>
          <w:rFonts w:ascii="Arial" w:cs="Arial" w:eastAsia="Arial" w:hAnsi="Arial"/>
          <w:sz w:val="18"/>
          <w:szCs w:val="18"/>
          <w:color w:val="auto"/>
        </w:rPr>
      </w:pPr>
    </w:p>
    <w:p>
      <w:pPr>
        <w:ind w:left="980" w:right="16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comply with stringent U.S. and foreign government regulation in the manufacture of pharmaceutical products, including Good Manufacturing Practice compliance and U.S. Drug Enforcement Agency compliance and other relevant regulatory authorities;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operate under increased leverage and associated lending covenants; and</w:t>
      </w:r>
    </w:p>
    <w:p>
      <w:pPr>
        <w:spacing w:after="0" w:line="225" w:lineRule="exact"/>
        <w:rPr>
          <w:rFonts w:ascii="Arial" w:cs="Arial" w:eastAsia="Arial" w:hAnsi="Arial"/>
          <w:sz w:val="18"/>
          <w:szCs w:val="18"/>
          <w:color w:val="auto"/>
        </w:rPr>
      </w:pPr>
    </w:p>
    <w:p>
      <w:pPr>
        <w:ind w:left="980" w:right="42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other risks, uncertainties and factors discussed under the heading “Risk Factors” in our most recent Annual Report on Form 10-K, as revised and supplemented by those risks described from time to time in other reports which we file with the SEC.</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right="180" w:firstLine="648"/>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or incorporated by reference into this prospectus, particularly under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or investments we may make.</w:t>
      </w:r>
    </w:p>
    <w:p>
      <w:pPr>
        <w:spacing w:after="0" w:line="19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You should read this prospectus and the documents that we incorporate by reference herein and therein completely and with the understanding that our actual future results may be materially different from what we expect. We qualify all of the forward-looking statements in this prospectus by these cautionary statements.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Except as required by law, we undertake no obligation to update or revise any forward-looking statements to reflect new information or future events or developments. You should not assume that our silence over time means that actual events are bearing out as expressed or implied in such forward-looking statements. Before deciding to purchase our securities, you should carefully consider the risk factors discussed and incorporated by reference in this prospectus and in the applicable prospectus supplement. See “Risk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Except as otherwise provided in the applicable prospectus supplement relating to a specific offering, we intend to use the net proceeds from the sale of securities by us under this prospectus for general corporate purposes, which may include working capital, capital expenditures, research and development expenditures, clinical trial expenditures, commercial expenditures, acquisitions of new technologies or businesses, and investments. Additional information on the use of net proceeds from the sale of securities by us under this prospectus will be set forth in the prospectus supplement relating to the specific offering.</w:t>
      </w: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following summary of the terms of our capital stock is subject to and qualified in its entirety by reference to our sixth amended and restated certificate of incorporation, as amended, or the Certificate, and our amended and restated bylaws, or Bylaws, copies of which are on file with the SEC as exhibits to previous SEC filings. Please refer to “Where You Can Find More Information” below for directions on obtaining these documents.</w:t>
      </w:r>
    </w:p>
    <w:p>
      <w:pPr>
        <w:spacing w:after="0" w:line="14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authorized capital stock consists of 210,000,000 shares, 200,000,000 of which are designated as common stock with a par value of $0.01 per share and 10,000,000 of which are designated as preferred stock with a par value of $0.01.</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As of December 31, 2019, (i) our capital stock was held of record by 38 stockholders and (ii) there were 52,625,228 shares of common stock outstanding, 7 shares of preferred stock outstanding, warrants to purchase an aggregate of 9,643,948 shares of common stock outstanding, and options to purchase an aggregate of 731,189 shares of common stock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of our common stock have the following rights, preferences and privileges: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Each holder of common stock is entitled to one vote per share on all matters submitted to a vote of stockholders. We have not provided for cumulative voting in the election of directors. Accordingly, the holders of a majority of the shares of our common stock entitled to vote in any election of directors can elect all of the directors standing for election. Except as otherwise required by law, holders of our common stock are not entitled to vote on any amendment to the Certificate that relates solely to the terms of an outstanding series of preferred stock if the holders of such series are entitled to vote thereon pursuant to the Certificate or any certificate of designation.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The timing, declaration, amount and payment of future dividends will depend on our financial condition, earnings, capital requirements and debt service obligations, as well as legal requirements, regulatory constraints, industry practice and other factors that its board of directors deems relevant. Our board of directors will make all decisions regarding our payment of dividends from time to time in accordance with applicable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our liquidation, dissolution or winding-up, the holders of common stock are entitled to share ratably in all assets remaining after payment of all liabilities and the liquidation preferences of any outstanding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holders of our common stock do not have any preemptive rights or preferential rights to subscribe for shares of our capital stock or any other securities. Our common stock is not subject to any redemption or sinking fund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Our common stock is listed on NASDAQ under the symbol “OCGN.” The applicable prospectus supplement will contain information, where applicable, as to other listings, if any, on NASDAQ or the other securities exchange of the securities covered by the applicable prospectus supplement.</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8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laws of the state of Delaware, the state of our incorporation, provide that the holders of preferred stock will have the right to vote separately, as a class, on any proposal involving fundamental changes in the rights of holders of such preferred stock. This right is in addition to any voting rights that may be provided for in the applicable certificate of designation.</w:t>
      </w:r>
    </w:p>
    <w:p>
      <w:pPr>
        <w:spacing w:after="0" w:line="18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Ocugen or the removal of management, which could depress the market price of our common stock.</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common stock or other securities of the Company, and, if applicable, the conversion price (or how it will be calculated), the conversion period and any other terms of conversion (including any anti-dilution provisions, if any);</w:t>
      </w:r>
    </w:p>
    <w:p>
      <w:pPr>
        <w:spacing w:after="0" w:line="123" w:lineRule="exact"/>
        <w:rPr>
          <w:rFonts w:ascii="Arial" w:cs="Arial" w:eastAsia="Arial" w:hAnsi="Arial"/>
          <w:sz w:val="16"/>
          <w:szCs w:val="16"/>
          <w:color w:val="auto"/>
        </w:rPr>
      </w:pPr>
    </w:p>
    <w:p>
      <w:pPr>
        <w:ind w:left="980" w:right="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rights, if any,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preferred stock offered by this prospectus, when issued, will not have, or be subject to, any 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of preferred stock will be set forth in each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Description of Other Securities Outstanding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board of directors provided for the issuance of Series A Convertible Preferred Stock, or the Series A Preferred, pursuant to the Certificate of Designation of Preferences, Rights and Limitations of Series A Convertible Preferred Stock, or the Certificate of Designation. Up to 30,000 shares are designated as Series A Preferred. Holders of Series A Preferred are entitled to receive dividends on Series A Preferred equal (on an as-converted to common stock basis) to and in the same form as dividends actually paid on shares of common stock, when and if such dividends are paid. Except as provided by law, the Series A Preferred has no voting rights. Upon the liquidation or dissolution of Ocugen, holders of Series A Preferred will be entitled to receive the same amount that a holder of common stock would receive if the preferred stock were fully converted to common stock. Shares of Series A Preferred are convertible to common stock at the option of the holder, on the terms and subject to the conditions set forth in the Certificate of Designation.</w:t>
      </w:r>
    </w:p>
    <w:p>
      <w:pPr>
        <w:spacing w:after="0" w:line="166"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The foregoing summary of the terms of the Series A Preferred is subject to and qualified in its entirety by reference to the Certificate and the Certificate of Designation, copies of which are on file with the SEC as exhibits to previous SEC filings. Please refer to “Where You Can Find More Information” below for directions on obtaining these documents.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Pre-Merger Financing Warrants</w:t>
      </w:r>
    </w:p>
    <w:p>
      <w:pPr>
        <w:spacing w:after="0" w:line="225"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Immediately prior to the Merger, Histogenics and Former Ocugen completed a previously announced private placement transaction with certain accredited investors, or the Investors, pursuant to that certain Securities Purchase Agreement dated June 13, 2019, as amended, or the Securities Purchase Agreement, by and among the Company, Former Ocugen and the Investors for an aggregate purchase price of approximately $25.0 million, or the Pre-Merger Financing, whereby, among other things, we agreed to issue on the fifth trading day following the consummation of the Merger, (a) Series A Warrants representing the right to acquire shares of our common stock up to the amount issuable in exchange for 200% of the initial shares of common stock plus the additional shares placed into escrow, without giving effect to any limitation on delivery contained in the Securities Purchase Agreement, purchased by the holder, or the Series A Warrants, (b) additional Series B warrants to purchase shares of our common stock, or the Series B Warrants, and</w:t>
      </w:r>
    </w:p>
    <w:p>
      <w:pPr>
        <w:spacing w:after="0" w:line="2" w:lineRule="exact"/>
        <w:rPr>
          <w:sz w:val="20"/>
          <w:szCs w:val="20"/>
          <w:color w:val="auto"/>
        </w:rPr>
      </w:pPr>
    </w:p>
    <w:p>
      <w:pPr>
        <w:ind w:right="140" w:firstLine="8"/>
        <w:spacing w:after="0" w:line="255"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Series C warrants to purchase 50 million shares of our common stock, or the Series C Warrants. Collectively, the Series A Warrants, Series B Warrants and Series C Warrants are referred to hereinafter as the Pre-Merger Financing Warrants. On October 4, 2019, pursuant to the Securities Purchase Agreement, we issued the Pre-Merger Financing Warrants.</w:t>
      </w:r>
    </w:p>
    <w:p>
      <w:pPr>
        <w:spacing w:after="0" w:line="19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November 5, 2019, we entered into an agreement with each Investor that amends the terms of each of the Pre-Merger Financing Warrants held by each such Investor, which amendments we refer to herein as the Warrant Amendments. The terms of the Warrant Amendments are discussed further below.</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December 31, 2019, (i) there were Series A Warrants outstanding exercisable for 8,771,928 shares of common stock, (ii) there were Series B Warrants outstanding exercisable for 1,000 shares of common stock; and (iii) there were Series C Warrants outstanding exercisable for 1,000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Warrants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Series A Warrants were issued at an initial exercise price of $7.13, were immediately exercisable upon issuance and have a term of 60 months from the date of issuance.</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Series A Warrants provide that if we issue or sell, enter into a definitive, binding agreement pursuant to which we are required to issue or sell or are deemed, pursuant to the provisions of the Series A Warrants, to have issued or sold, any shares of common stock for a price per share lower than the exercise price then in effect, or a Dilutive Issuance, subject to certain limited exceptions, then (i) the exercise price of the Series A Warrants shall be reduced to such lower price per share and (ii) the number of shares issuable upon exercise of the Series A Warrants shall be increased to the number of shares of common stock determined by multiplying (a) the exercise price in effect immediately prior to such Dilutive Issuance by (b) the number of shares of common stock issuable upon exercise of the Series A Warrants immediately prior to such Dilutive Issuance (without giving effect to any limitation on exercise contained therein), and dividing the product thereof by the exercise price resulting from such Dilutive Issuance.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ind w:right="40" w:firstLine="648"/>
        <w:spacing w:after="0" w:line="286" w:lineRule="auto"/>
        <w:rPr>
          <w:sz w:val="20"/>
          <w:szCs w:val="20"/>
          <w:color w:val="auto"/>
        </w:rPr>
      </w:pPr>
      <w:r>
        <w:rPr>
          <w:rFonts w:ascii="Arial" w:cs="Arial" w:eastAsia="Arial" w:hAnsi="Arial"/>
          <w:sz w:val="16"/>
          <w:szCs w:val="16"/>
          <w:color w:val="auto"/>
        </w:rPr>
        <w:t>Pursuant to the Series A Warrants, we have agreed not to enter into, allow or be party to certain fundamental transactions, generally including any merger with or into another entity, sale of all or substantially all of our assets, tender offer or exchange offer, or reclassification of our common stock, or a Fundamental Transaction, until the 45th trading day immediately following the earlier to occur of (i) the first date on which the holders can sell all the shares issuable upon exercise of the Series A Warrants and the Series B Warrants without restriction or limitation pursuant to Rule 144 under the Securities Act of 1933, as amended, or the Securities Act, and without the requirement to be in compliance with Rule 144(c)(1) and (ii) October 4, 2020 (such earlier date is referred to hereinafter as the Reservation Date). Thereafter, we have agreed not to enter into or be party to a Fundamental Transaction unless the successor entity in such transaction assumes in writing all of our obligations under the Series A Warrants and the other Pre-Merger Financing documents, including agreements, if so requested by the holder, to deliver to each holder of the Series A Warrants in exchange for such Series A Warrants a security of the successor entity evidenced by a written instrument substantially similar in form and substance to the Series A Warrant, exercisable for the same securities and/or other property as would have been paid for the common stock issuable upon exercise of the unexercised portion of the Series A Warrant as if such common stock was outstanding on and as of the closing of such Fundamental Transaction, subject to further adjustment from time to time in accordance with the provisions of the Series A Warrant. Any security issuable or potentially issuable to the holder pursuant to the terms of the Series A Warrants on the consummation of a Fundamental Transaction must be registered and freely tradable by the holder without any restriction or limitation or the requirement to be subject to any holding period pursuant to any applicable securities laws.</w:t>
      </w:r>
    </w:p>
    <w:p>
      <w:pPr>
        <w:spacing w:after="0" w:line="17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Additionally, at the request of a holder delivered before the 90th day after the consummation of a Fundamental Transaction, we or the successor entity must purchase such holder’s warrant for the value calculated using the Black-Scholes option pricing model as of the day immediately following the public announcement of the applicable Fundamental Transaction, or, if the Fundamental Transaction is not publicly announced, the date the Fundamental Transaction is consummated.</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Series A Warrants also contain a “cashless exercise” feature that allows the holders to exercise the Series A Warrants without making a cash payment in the event that there is no effective registration statement registering the shares issuable upon exercise of the Series A Warrants. The Series A Warrants are subject to a blocker provision which restricts the exercise of the Series A Warrants if, as a result of such exercise, the holder, together with its affiliates and any other person whose beneficial ownership of our common stock would be aggregated with the holder’s for purposes of Section 13(d) of the Securities Exchange Act of 1934, as amended, or the Exchange Act, would beneficially own in excess of 4.99% or 9.99% of the outstanding common stock (including the shares of common stock issuable upon such exercise), as such percentage ownership is determined in accordance with the terms of the Series A Warrants.</w:t>
      </w:r>
    </w:p>
    <w:p>
      <w:pPr>
        <w:spacing w:after="0" w:line="19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If we fail to issue to a holder of Series A Warrants the number of shares of common stock to which such holder is entitled upon such holder’s exercise of the Series A Warrants, then we shall be obligated to pay the holder on each day while such failure is continuing an amount equal to 2.0% of the market value of the undelivered shares determined using any trading price of the common stock selected by the holder as in effect at any time during the period from delivery of the exercise notice until the applicable share delivery date, and if the holder purchases common stock in connection with such failure (such purchased common stock is referred to hereinafter as Series A Buy-In Shares), then we must, at the holder’s discretion, reimburse the holder for the cost of such Series A Buy-In Shares or deliver the owed shares and reimburse the holder for the difference between the price such holder paid for the Series A Buy-In Shares and the closing market price for shares of the common stock on the date of exercise.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Warrants</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The Series B Warrants have an exercise price of $0.01. Pursuant to the Warrant Amendments, they were exercisable after the completion of a 10 trading-day period following the effectiveness of a registration statement covering the resale of the common stock into which such warrants were exercisable. The Series B Warrants will expire on the day following the later to occur of (i) the Reservation Date and (ii) the date on which the Series B Warrants have been exercised in full (without giving effect to any limitation on exercise contained therein) and no shares remain issuable thereunder.</w:t>
      </w:r>
    </w:p>
    <w:p>
      <w:pPr>
        <w:spacing w:after="0" w:line="15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Series B Warrants include a provision pursuant to which the number of shares issuable upon exercise of the Series B Warrants shall be increased during certain “Reset Periods” (as defined in the Series B Warrants) pursuant to a formula based on the greater of (i) 80% of the arithmetic average of the two lowest dollar volume-weighted average prices of a share of our common stock on NASDAQ during the applicable Reset Period immediately preceding the applicable Reset Date to date and (ii) $1.00 (such greater price is referred to hereinafter as the Reset Price). A Reset Period commenced on November 20, 2019, which, in accordance with the terms of the Warrant Amendments, was the day following a ten trading-day period after the effectiveness of our Registration Statement on Form S-3 (333-234127). As the dollar volume-weighted average prices of our common stock on NASDAQ was under $1.00 for the first two trading days of the Reset Period, the Investors elected to advance the end of the Reset Period to November 21, 2019 and the number of shares issuable upon exercise of the Series B Warrants was increased based on a Reset Price of $1.00. The reset resulted in an aggregate of approximately 12.6 million additional shares of common stock becoming issuable upon exercise of the Series B Warrants.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right="100" w:firstLine="648"/>
        <w:spacing w:after="0" w:line="269" w:lineRule="auto"/>
        <w:rPr>
          <w:sz w:val="20"/>
          <w:szCs w:val="20"/>
          <w:color w:val="auto"/>
        </w:rPr>
      </w:pPr>
      <w:r>
        <w:rPr>
          <w:rFonts w:ascii="Arial" w:cs="Arial" w:eastAsia="Arial" w:hAnsi="Arial"/>
          <w:sz w:val="17"/>
          <w:szCs w:val="17"/>
          <w:color w:val="auto"/>
        </w:rPr>
        <w:t>Pursuant to the Series B Warrants, we have agreed not to enter into, allow or be party to a Fundamental Transaction until the Reservation Date. Thereafter, we have agreed not to enter into or be party to a Fundamental Transaction unless the successor entity in such transaction assumes in writing all of our obligations under the Series B Warrants and the other Pre-Merger Financing documents, including agreements, if so requested by the holder, to deliver to each holder of the Series B Warrants in exchange for such Series B Warrants a security of the successor entity evidenced by a written instrument substantially similar in form and substance to the Series B Warrant, exercisable for the same securities and/or other property as would have been paid for the common stock issuable upon exercise of the unexercised portion of the Series B Warrant as if such common stock was outstanding on and as of the closing of such Fundamental Transaction, subject to further adjustment from time to time in accordance with the provisions of the Series B Warrant. Any security issuable or potentially issuable to the holder pursuant to the terms of the Series B Warrants on the consummation of a Fundamental Transaction must be registered and freely tradable by the holder without any restriction or limitation or the requirement to be subject to any holding period pursuant to any applicable securities laws.</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Series B Warrants also contain a “cashless exercise” feature that allows the holders to exercise the Series B Warrants without making a cash payment. The Series B Warrants are subject to a blocker provision which restricts the exercise of the Series B Warrants if, as a result of such exercise, the holder, together with its affiliates and any other person whose beneficial ownership of our common stock would be aggregated with the holder’s for purposes of Section 13(d) of the Exchange Act would beneficially own in excess of 4.99% or 9.99% of the outstanding common stock (including the shares of common stock issuable upon such exercise).</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we fail to issue to a holder of Series B Warrants the number of shares of common stock to which such holder is entitled upon such holder’s exercise of the Series B Warrants, then we shall be obligated to pay the holder on each day while such failure is continuing an amount equal to 2.0% of the market value of the undelivered shares determined using any trading price of the common stock selected by the holder as in effect at any time during the period from delivery of the exercise notice until the applicable share delivery date, and if the holder purchases shares of common stock in connection with such failure (such purchased common stock is referred to hereinafter as Series B Buy-In Shares), then we must, at the holder’s discretion, reimburse the holder for the cost of such Series B Buy-In Shares or deliver the owed shares and reimburse the holder for the difference between the price such holder paid for the Series B Buy-In Shares and the closing market price for shares of our common stock on the date of exercise.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Warrants</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Pursuant to the Warrant Amendments, the Series C Warrants were exercisable in the aggregate for up to 20 million shares of common stock. The Warrant Amendments permitted the Investors, in lieu of making any cash payment otherwise contemplated to be made to us upon the exercise of the Series C Warrants, to elect instead to receive upon such exercise up to 20 million shares of common stock. The outstanding Series C Warrants will expire upon the 45th trading day immediately following the earlier to occur of (i) the date the holder can sell all shares issuable upon exercise of the Series C Warrants pursuant to Rule 144 without restriction or limitation and without the requirement to be in compliance with Rule 144(c)(1) and (ii) October 4, 2020, provided that if such date falls on a holiday, then the next day that is not a holiday.</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Pursuant to the Series C Warrants, we have agreed not to enter into, allow or be party to a Fundamental Transaction until the Reservation Date. Thereafter, we agreed not to enter into or be party to a Fundamental Transaction unless the successor entity in such transaction assumes in writing all of our obligations under the Series C Warrants and the other Pre-Merger Financing documents, including agreements, if so requested by the holder, to deliver to each holder of the Series C Warrants in exchange for such Series C Warrants a security of the successor entity evidenced by a written instrument substantially similar in form and substance to the Series C Warrant, exercisable for the same securities and/or other property as would have been paid for the common stock issuable upon exercise of the unexercised portion of the Series C Warrant as if such common stock was outstanding on and as of the closing of such Fundamental Transaction, subject to further adjustment from time to time in accordance with the provisions of the Series C Warrant. Any security issuable or potentially issuable to the holder pursuant to the terms of the Series C Warrants on the consummation of a Fundamental Transaction must be registered and freely tradable by the holder without any restriction or limitation or the requirement to be subject to any holding period pursuant to any applicable securities laws.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right="20" w:firstLine="648"/>
        <w:spacing w:after="0" w:line="259" w:lineRule="auto"/>
        <w:rPr>
          <w:sz w:val="20"/>
          <w:szCs w:val="20"/>
          <w:color w:val="auto"/>
        </w:rPr>
      </w:pPr>
      <w:r>
        <w:rPr>
          <w:rFonts w:ascii="Arial" w:cs="Arial" w:eastAsia="Arial" w:hAnsi="Arial"/>
          <w:sz w:val="18"/>
          <w:szCs w:val="18"/>
          <w:color w:val="auto"/>
        </w:rPr>
        <w:t>The Series C Warrants are subject to a blocker provision which restricts the exercise of the Series C Warrants if, as a result of such exercise, the holder, together with its affiliates and any other person whose beneficial ownership of our common stock would be aggregated with the holder’s for purposes of Section 13(d) of the Exchange Act would beneficially own in excess of 4.99% or 9.99% of the outstanding common stock (including the shares of the common stock issuable upon such exercise).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we fail to issue to a holder of Series C Warrants the number of shares of common stock to which such holder is entitled upon such holder’s exercise of the Series C Warrants, then we shall be obligated to pay the holder on each day while such failure is continuing an amount equal to 2.0% of the market value of the undelivered shares determined using any trading price of the common stock selected by the holder as in effect at any time during the period from delivery of the exercise notice until the applicable share delivery date, and if the holder purchases shares of common stock in connection with such failure (such purchased common stock is referred to hereinafter as Series C Buy-In Shares), then we must, at the holder’s discretion, reimburse the holder for the cost of such Series C Buy-In Shares or deliver the owed shares and reimburse the holder for the difference between the price such holder paid for the Series C Buy-In Shares and the closing market price for shares of our common stock on the date of exercise.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connection with the Pre-Merger Financing, we entered into the Registration Rights Agreement with the Investors. Pursuant to the Registration Rights Agreement, we are required to file an initial resale registration statement with respect to shares of our capital stock held by or issuable to the Investors, or the Registrable Securities, within 10 days of the closing of the Pre-Merger Financing. Such registration statement became effective on November 5, 2019. Additionally, we are required to file additional resale registration statements with respect to the Registrable Securities within 30 days of each End Reset Date, to the extent that such Registrable Securities are not already registered for resale on a prior registration statement. We will be required to use commercially reasonable efforts to maintain the effectiveness of these registration statements until the Registrable Securities covered by these registration statements have been disposed of or are no longer Registrable Securities.</w:t>
      </w:r>
    </w:p>
    <w:p>
      <w:pPr>
        <w:spacing w:after="0" w:line="17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we fail to file and obtain and maintain effectiveness of the resale registration statements required under the Registration Rights Agreement or fail, subject to limited grace periods, to maintain the effectiveness of the resale registration statements, then we shall be obligated to pay to each affected holder of Registrable Securities an amount equal to 2.0% of the aggregate purchase price of such Investor’s Registrable Securities whether or not included in such registration statement on each of the day of such failure and on every thirtieth day thereafter (pro-rated for periods of less than 30 days) until the date such failure is cured.</w:t>
      </w:r>
    </w:p>
    <w:p>
      <w:pPr>
        <w:spacing w:after="0" w:line="188"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These registration rights granted under the Registration Rights Agreement are subject to certain conditions and limitations, including our right to delay or withdraw a registration statement under certain circumstances. The registration rights granted in the Registration Rights Agreement are subject to customary indemnification and contribution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our Bylaws and Delaware Law</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Various provisions contained in the Certificate, the Bylaws and Delaware law could delay, deter or discourage some transactions involving an actual or potential change in control of Ocugen, including acquisition of us by means of a tender offer; acquisition of us by means of a proxy contest or otherwise; or removal of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its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Certificate authorizes our board of directors to establish one or more series of preferred stock and to determine, with respect to any series of preferred stock, the preferences, rights and other terms of such series. See “—Preferred Stock” for additional information. Under this authority, our board of directors could create and issue a series of preferred stock with rights, preferences or restrictions that have the effect of discriminating against an existing or prospective holder of our capital stock as a result of such holder beneficially owning or commencing a tender or exchange offer for a substantial amount of common stock. One of the effects of authorized but unissued and unreserved shares of preferred stock may be to render it more difficult for, or to discourage an attempt by, a potential acquiror to obtain control of us by means of a merger, tender or exchange offer, proxy contest or otherwise, and thereby protect the continuity of the company’s management. The issuance of shares of preferred stock may have the effect of delaying, deferring or preventing a change in control of us without any action by our stockholders.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Classified Board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Certificate and the Bylaws provide that the directors, other than those who may be elected by the holders of any series of preferred stock under specified circumstances, shall be divided into three classes. Such classes shall be as nearly equal in number of directors as reasonably possible. The election of the classes is staggered, such that only approximately one third of our board of directors is up for election in any given year. Each director shall serve for a term ending on the third annual meeting of stockholders following the annual meeting of stockholders at which such director was elected. Each director shall serve until such director’s successor shall have become duly elected and qualified, or until such director’s prior death, resignation, retirement, disqualification or other removal.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Certificate does not provide for cumulative voting in the election of directors. Accordingly, the holders of a majority of the shares of our common stock entitled to vote in any election of directors can elect all of the directors standing for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Vacancies; Removal</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Certificate provides that any vacancy occurring on our board of directors will be filled by a majority of directors then in office, even if less than a quorum. The Certificate also provides that our directors can only be removed for cause upon the vote of more than two-thirds of the votes entitled to be cast by holders of all the then-outstanding shares of capital stock, voting together as a single class.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Meetings of Stockholders; Number of Directors and No Action by Written Consent of Stockholders</w:t>
      </w:r>
    </w:p>
    <w:p>
      <w:pPr>
        <w:spacing w:after="0" w:line="22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Certificate and the Bylaws provide that only the board of directors, the chairman of the board of directors or the president may call a special meeting of our stockholders. The Bylaws provide that the authorized number of directors be changed only by resolution of the board of directors. The Bylaws provide that the stockholders may act only duly called annual or special meeting and no action may be effected by written consent.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Notification of Shareholder Nominations and Proposals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amended and restated bylaws establish advance notice procedures with respect to shareholder proposals and the nomination of persons for election as directors, other than nominations made by or at the direction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Certificate and Bylaws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amendment of any of the above provisions (except for the provision making it possible for the board of directors to issue undesignated preferred stock) and the exclusive form and indemnification provisions described below, would require approval by a stockholder vote by the holders of at least a two thirds of the voting power of the then outstanding voting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are subject to Section 203 of the Delaware General Corporation Law, or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 for Certain Actions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Certificate provides that, unless we consent in writing to the selection of an alternative forum, the Court of Chancery of the State of Delaware shall, to the fullest extent permitted by law, be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DGCL, or (iv)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 w:name="page34"/>
    <w:bookmarkEnd w:id="33"/>
    <w:p>
      <w:pPr>
        <w:ind w:right="240" w:firstLine="648"/>
        <w:spacing w:after="0" w:line="259" w:lineRule="auto"/>
        <w:rPr>
          <w:sz w:val="20"/>
          <w:szCs w:val="20"/>
          <w:color w:val="auto"/>
        </w:rPr>
      </w:pPr>
      <w:r>
        <w:rPr>
          <w:rFonts w:ascii="Arial" w:cs="Arial" w:eastAsia="Arial" w:hAnsi="Arial"/>
          <w:sz w:val="18"/>
          <w:szCs w:val="18"/>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the Certificate to be inapplicable or unenforceable in an action, we may incur additional costs associated with resolving such action in other jurisdictions.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Certificate includes provisions that limit the liability of our directors for monetary damages for breach of their fiduciary duty as directors, except for liability that cannot be eliminated under the DGCL. Accordingly, our directors will not be personally liable for monetary damages for breach of their fiduciary duty as directors, except for liabilities:</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unlawful payments of dividends or unlawful stock repurchases or redemptions, as provided under Section 174 of the DGCL;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Any amendment or repeal of these provisions will require the approval of the holders of shares representing at least two-thirds of the shares entitled to vote in the election of directors, voting as one class. The Certificate and Bylaws provide that we will indemnify our directors and officers to the fullest extent permitted by Delaware law. The Certificate and Bylaws also permit us to purchase insurance on behalf of any officer, director, employee or other agent for any liability arising out of his or her actions as its officer, director, employee or agent, regardless of whether Delaware law would permit indemnification. We have entered into separate indemnification agreements with our directors and executive officers that require us, among other things, to indemnify them against certain liabilities that may arise by reason of their status or service as directors and to advance their expenses incurred as a result of any proceeding against them as to which they could be indemnified. We believe that the limitation of liability provision in the Certificate and the indemnification agreements facilitate our ability to continue to attract and retain qualified individuals to serve as directors and officers.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limitation of liability and indemnification provisions in the Certificate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This section describes the general terms and provisions of the debt securities that we may offer under this prospectus, any of which may be issued as convertible or exchangeable debt securities. We will set forth the particular terms of the debt securities it offer in a prospectus supplement. The extent, if any, to which the following general provisions apply to particular debt securities will be described in the applicable prospectus supplement. The following description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16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may offer under this prospectus up to $75,000,000 aggregate principal amount of secured or unsecured debt securities, or if debt securities are issued at a discount, or in a foreign currency or composite currency, such principal amount as may be sold for a public offering price of up to $75,000,000. The debt securities may be either senior debt securities, senior subordinated debt securities or subordinated debt securities. We will issue any debt securities under an indenture to be entered into between it and the trustee identified in the applicable prospectus supplement. The terms of the debt securities will include those stated in the indenture and any amendment or supplement thereto and those made part of the indenture by reference to the Trust Indenture Act of 1939, or the Trust Indenture Act, as in effect on the date of the indenture. We have filed or will file a copy of the form of indenture as an exhibit to the registration statement in which</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prospectus is included.</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statements relating to the debt securities and the indenture are summaries, qualified in their entirety by reference to the detailed provisions of the indenture and the final form indenture which will be filed with a future prospectus supplement and any amendment or supplement thereto.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4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principal and, if applicable, premium and interest,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denominations in which such debt securities may be issuable, if other than denominations of $1,000 or any integral multiple of that number;</w:t>
      </w:r>
    </w:p>
    <w:p>
      <w:pPr>
        <w:spacing w:after="0" w:line="170"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securities (as described below) or global securities (as described below);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ind w:left="980" w:right="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170" w:lineRule="exact"/>
        <w:rPr>
          <w:rFonts w:ascii="Arial" w:cs="Arial" w:eastAsia="Arial" w:hAnsi="Arial"/>
          <w:sz w:val="18"/>
          <w:szCs w:val="18"/>
          <w:color w:val="auto"/>
        </w:rPr>
      </w:pPr>
    </w:p>
    <w:p>
      <w:pPr>
        <w:ind w:left="980" w:right="24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23" w:lineRule="exact"/>
        <w:rPr>
          <w:rFonts w:ascii="Arial" w:cs="Arial" w:eastAsia="Arial" w:hAnsi="Arial"/>
          <w:sz w:val="16"/>
          <w:szCs w:val="16"/>
          <w:color w:val="auto"/>
        </w:rPr>
      </w:pPr>
    </w:p>
    <w:p>
      <w:pPr>
        <w:ind w:left="9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events of default, if not otherwise described below under “Defaults and Notice”;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shares of our common stock or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guaranties of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terms and conditions, if any, upon which the debt securities shall be subordinated in right of payment to other of our indebtedness;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in whole or in part, shall be defeasible.</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All debt securities of one series need not be issued at the same time and, unless otherwise provided, a series may be reopened, without the consent of any holder, for issuances of additional debt securities of that series with the same terms as the original debt securities of that series (other than the issue price and the interest accrued prior to the issue date of the additional debt securities). 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and/or Conversion Rights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debt securities that will be represented by either: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6" w:name="page37"/>
    <w:bookmarkEnd w:id="36"/>
    <w:p>
      <w:pPr>
        <w:ind w:left="980" w:right="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“book-entry securities,” which means that there will be one or more global securities registered in the name of a depositary or a nominee of a depositary;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“certificated securities,” which means that they will be represented by a certificate issued in definitive registered form.</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We will specify in the prospectus supplement applicable to a particular offering whether the debt securities offered will be book-entry or certificated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debt securities of a series may be issued in the form of one or more global securities that will be deposited with a depositary or its nominees identified in the prospectus supplement relating to the debt securities. 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For more information, please see “Global Securities”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in the Event of Change of Control</w:t>
      </w:r>
    </w:p>
    <w:p>
      <w:pPr>
        <w:spacing w:after="0" w:line="229"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Any provision in an indenture that governs our debt securities covered by this prospectus that includes any covenant or other provision providing for a put or increased interest or that would otherwise afford holders of its debt securities additional protection in the event of a recapitalization transaction, a change of control of Ocugen, or a highly leveraged transaction will be described in the applicable prospectus supplement.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may agree in any indenture that governs the debt securities of any series covered by this prospectus that it will not consolidate with or merge into any other person or convey, transfer, sell or lease our properties and assets substantially as an entirety to any person, unless:</w:t>
      </w:r>
    </w:p>
    <w:p>
      <w:pPr>
        <w:spacing w:after="0" w:line="146" w:lineRule="exact"/>
        <w:rPr>
          <w:sz w:val="20"/>
          <w:szCs w:val="20"/>
          <w:color w:val="auto"/>
        </w:rPr>
      </w:pPr>
    </w:p>
    <w:p>
      <w:pPr>
        <w:ind w:left="980" w:right="4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the surviving entity of any such merger or consolidation or the entity formed by such merger or consolidation shall be organized under the laws of the United States of America, or any state thereof or the District of Columbia, and shall expressly assume by a supplemental indenture all of our obligations related to such debt securities;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immediately before and immediately after the merger or consolidation, no default or event of default shall have occurred and be continuing.</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Notwithstanding the foregoing, the indenture may allow certain transactions, including, but not limited to, a merger between us and our wholly owned subsidiary or a merger between us and our affiliate for the purpose of converting the Company into a corporation under the laws of the United States of America, or any state thereof or the District of Columbia, or for the purpose of creating or collapsing a holding company structure.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Defaults and Notice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debt securities of any series will contain events of default to be specified in the applicable prospectus supplement, which may include, without limitation:</w:t>
      </w:r>
    </w:p>
    <w:p>
      <w:pPr>
        <w:spacing w:after="0" w:line="170" w:lineRule="exact"/>
        <w:rPr>
          <w:sz w:val="20"/>
          <w:szCs w:val="20"/>
          <w:color w:val="auto"/>
        </w:rPr>
      </w:pPr>
    </w:p>
    <w:p>
      <w:pPr>
        <w:ind w:left="980" w:right="5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the principal of, or premium, if any, on, any debt security of such series when due and payable (whether at maturity, upon redemption, acceleration or otherwise);</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make a payment of any interest on any debt security of such series when due and payable and such failure continues for a period of 30 days;</w:t>
      </w:r>
    </w:p>
    <w:p>
      <w:pPr>
        <w:spacing w:after="0" w:line="170" w:lineRule="exact"/>
        <w:rPr>
          <w:rFonts w:ascii="Arial" w:cs="Arial" w:eastAsia="Arial" w:hAnsi="Arial"/>
          <w:sz w:val="18"/>
          <w:szCs w:val="18"/>
          <w:color w:val="auto"/>
        </w:rPr>
      </w:pPr>
    </w:p>
    <w:p>
      <w:pPr>
        <w:ind w:left="980" w:right="2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perform or observe any other covenants or agreements in the indenture with respect to the debt securities of such series and such failure continues for a period of 60 days after written notice from the trustee or holders of 25% in the aggregate principal amount of the then-outstanding debt securities of such series;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relating to our or our significant subsidiaries’ bankruptcy, insolvency or reorganization.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 event of default with respect to debt securities of any series shall occur and be continuing, we may agree that the trustee or the holders of at least 25% in aggregate principal amount of the then-outstanding debt securities of such series may declare the principal amount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Any indenture that governs our debt securities covered by this prospectus may require that the trustee under such indenture shall, within 90 days after the trustee knows of the occurrence of a default, give to holders of debt securities of any series notice of all uncured defaults with respect to such series known to it. However, except in the case of a default that results from the failure to make any payment of the principal of, or interest or premium, if any, on the debt securities of any series,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Any indenture that governs our debt securities covered by this prospectus will contain a provision entitling the trustee to be indemnified by holders of debt securities before instituting a proceeding or pursuing a remedy under the indenture at the request of such holders. Any such indenture may provide that the holders of at least a majority in aggregate principal amount of the then-outstanding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that the actions or proceedings as directed may not lawfully be taken, would involve the trustee in personal liability or would be unduly prejudicial to the holders of the debt securities of such series not joining in such direction.</w:t>
      </w:r>
    </w:p>
    <w:p>
      <w:pPr>
        <w:spacing w:after="0" w:line="17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Any indenture that governs our debt securities covered by this prospectus may permit the holders of such debt securities to institute a proceeding with respect to such indenture, subject to certain conditions, which will be specified in the applicable prospectus supplement and which may include that the holders of at least 25% in aggregate principal amount of the debt securities of such series then-outstanding make a prior written request upon the trustee to exercise its power under the indenture and offer reasonable indemnity to the trustee.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and the trustee may modify any indenture that governs our debt securities of any series covered by this prospectus with or without the consent of the holders of such debt securities, under certain circumstances to be described in a prospectus supplement.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Defeasance; Satisfaction and Discharge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prospectus supplement will outline the conditions under which we may elect to have certain of our obligations under the indenture discharged and under which the indenture obligations will be deemed to be satisfied.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Any indenture that governs our debt securities covered by this prospectus may provide that we may discharge our obligations under such debt securities and the indenture with respect to such debt securities if:</w:t>
      </w:r>
    </w:p>
    <w:p>
      <w:pPr>
        <w:spacing w:after="0" w:line="170" w:lineRule="exact"/>
        <w:rPr>
          <w:sz w:val="20"/>
          <w:szCs w:val="20"/>
          <w:color w:val="auto"/>
        </w:rPr>
      </w:pPr>
    </w:p>
    <w:p>
      <w:pPr>
        <w:ind w:left="980" w:right="40" w:hanging="324"/>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 (A) there shall have been canceled by the trustee under the indenture, or delivered to the trustee for cancellation, all debt securities of such series theretofore authenticated and delivered or (B) all such debt securities not theretofore delivered to the trustee for cancellation have become due and payable or will become due and payable within one year or are to be called for redemption within one year under irrevocable arrangements for the giving of notice of redemption by the trustee;</w:t>
      </w:r>
    </w:p>
    <w:p>
      <w:pPr>
        <w:spacing w:after="0" w:line="186" w:lineRule="exact"/>
        <w:rPr>
          <w:rFonts w:ascii="Arial" w:cs="Arial" w:eastAsia="Arial" w:hAnsi="Arial"/>
          <w:sz w:val="18"/>
          <w:szCs w:val="18"/>
          <w:color w:val="auto"/>
        </w:rPr>
      </w:pPr>
    </w:p>
    <w:p>
      <w:pPr>
        <w:ind w:left="980" w:right="1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irrevocably deposited or caused to be deposited with the trustee funds in an amount sufficient to pay and discharge the entire indebtedness on the debt securities not theretofore delivered to the trustee for cancellation, for principal, premium, if any, and interest to the maturity or date of redemption;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paid all other sums payable by it under the indenture or deposited all other required sums with the trustee; and</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instrument or agreement to which we are a party or to which we are bound.</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indenture that governs our debt securities covered by this prospectus may provide that we may be discharged from its obligations with respect to any debt securities, subject to certain exceptions. Further, any indenture that governs our debt securities covered by this prospectus may provide that we may be released from our obligations under certain sections of such indenture, subject to certain exceptions. In either case, such indenture may provide that certain conditions must be satisfied prior to such discharge or release, including, but not limited to:</w:t>
      </w:r>
    </w:p>
    <w:p>
      <w:pPr>
        <w:spacing w:after="0" w:line="171" w:lineRule="exact"/>
        <w:rPr>
          <w:sz w:val="20"/>
          <w:szCs w:val="20"/>
          <w:color w:val="auto"/>
        </w:rPr>
      </w:pPr>
    </w:p>
    <w:p>
      <w:pPr>
        <w:ind w:left="98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shall have irrevocably deposited with the trustee, in trust, for the purpose of making the following payments, specifically pledged as security for, and dedicated solely to, the benefit of the holders of the debt securities, (a) money, (b) U.S. or foreign government obligations which through the scheduled payment of principal and interest in respect thereof in accordance with their terms will provide, not later than the due date of any payment, money, or (c) a combination thereof, in an amount sufficient to pay the entire indebtedness on such debt securities in respect of principal, accrued interest and premium, if any;</w:t>
      </w:r>
    </w:p>
    <w:p>
      <w:pPr>
        <w:spacing w:after="0" w:line="187"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shall be no continuing default or event of default with respect to such debt securities at the time of the deposit or after giving effect thereto;</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shall not be certain conflicting interest for purposes of the Trust Indenture Act;</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actions shall not result in a breach or violation of, or constitute a default under, any other agreement or instrument to which we are bound;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shall have delivered a legal opinion relating to certain tax matters;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shall have delivered a legal opinion and certain other certificates relating to the satisfaction of the required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will identify the trustee and any relationship that it may have with such trustee, with respect to any series of debt securities, in the prospectus supplement relating to the applicable debt securities. You should note that if the trustee becomes a creditor of the Company, the indenture and the Trust Indenture Act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it must eliminate such conflict or resign.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its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686"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237" w:lineRule="exact"/>
        <w:rPr>
          <w:sz w:val="20"/>
          <w:szCs w:val="20"/>
          <w:color w:val="auto"/>
        </w:rPr>
      </w:pPr>
    </w:p>
    <w:p>
      <w:pPr>
        <w:ind w:left="980" w:right="1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right="8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 including anti-dilution provisions of the warrants, if 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25" w:lineRule="exact"/>
        <w:rPr>
          <w:rFonts w:ascii="Arial" w:cs="Arial" w:eastAsia="Arial" w:hAnsi="Arial"/>
          <w:sz w:val="18"/>
          <w:szCs w:val="18"/>
          <w:color w:val="auto"/>
        </w:rPr>
      </w:pPr>
    </w:p>
    <w:p>
      <w:pPr>
        <w:ind w:left="980" w:right="46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 or market;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equity warrants will not be entitled:</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any rights as stockholders of Ocugen.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jc w:val="both"/>
        <w:ind w:right="300" w:firstLine="648"/>
        <w:spacing w:after="0" w:line="287"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Unless we indicate differently in any applicable prospectus supplement or free writing prospectus, each debt security, warrant and unit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right="180" w:firstLine="648"/>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if not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such circumstances, in the event that a successor depositary is not obtained, securities certificates are required to be printed and delivered.</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70" w:lineRule="exact"/>
        <w:rPr>
          <w:sz w:val="20"/>
          <w:szCs w:val="20"/>
          <w:color w:val="auto"/>
        </w:rPr>
      </w:pPr>
    </w:p>
    <w:p>
      <w:pPr>
        <w:ind w:left="980" w:right="140" w:hanging="324"/>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right="60"/>
        <w:spacing w:after="0" w:line="259"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If so provided in the applicable prospectus supplement, you may hold interests in a global security through Clearstream Banking S.A., or Clearstream, or Euroclear Bank S.A./N.V., as operator of the Euroclear System, or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6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8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4"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Any common stock or preferred stock will be listed on the NASDAQ Capital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648"/>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Unless indicated otherwise in the applicable prospectus supplement, the validity of the issuance of the securities offered hereby will be passed upon for us by Troutman Pepper Hamilton Sanders LLP, Philadelphia, Pennsylvania. As appropriate, legal counsel representing the underwriters, dealers or agents will be named in the accompanying prospectus supplement and may opine to certain legal matters.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296" w:lineRule="auto"/>
        <w:rPr>
          <w:rFonts w:ascii="Arial" w:cs="Arial" w:eastAsia="Arial" w:hAnsi="Arial"/>
          <w:sz w:val="16"/>
          <w:szCs w:val="16"/>
          <w:color w:val="0000EE"/>
        </w:rPr>
      </w:pPr>
      <w:hyperlink r:id="rId18">
        <w:r>
          <w:rPr>
            <w:rFonts w:ascii="Arial" w:cs="Arial" w:eastAsia="Arial" w:hAnsi="Arial"/>
            <w:sz w:val="16"/>
            <w:szCs w:val="16"/>
            <w:color w:val="auto"/>
          </w:rPr>
          <w:t xml:space="preserve">The consolidated financial statements of Ocugen, Inc. appearing in Ocugen, Inc.’s </w:t>
        </w:r>
        <w:r>
          <w:rPr>
            <w:rFonts w:ascii="Arial" w:cs="Arial" w:eastAsia="Arial" w:hAnsi="Arial"/>
            <w:sz w:val="16"/>
            <w:szCs w:val="16"/>
            <w:u w:val="single" w:color="auto"/>
            <w:color w:val="0000EE"/>
          </w:rPr>
          <w:t>Annual Report (Form 10-K) for the year ended December 31,</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EE"/>
          </w:rPr>
          <w:t>2019</w:t>
        </w:r>
        <w:r>
          <w:rPr>
            <w:rFonts w:ascii="Arial" w:cs="Arial" w:eastAsia="Arial" w:hAnsi="Arial"/>
            <w:sz w:val="16"/>
            <w:szCs w:val="16"/>
            <w:color w:val="0000EE"/>
          </w:rPr>
          <w:t xml:space="preserve"> </w:t>
        </w:r>
        <w:r>
          <w:rPr>
            <w:rFonts w:ascii="Arial" w:cs="Arial" w:eastAsia="Arial" w:hAnsi="Arial"/>
            <w:sz w:val="16"/>
            <w:szCs w:val="16"/>
            <w:color w:val="000000"/>
          </w:rPr>
          <w:t>have been audited by Ernst &amp; Young LLP, independent registered public accounting firm, as set forth in their report, thereon (which contains an</w:t>
        </w:r>
      </w:hyperlink>
      <w:r>
        <w:rPr>
          <w:rFonts w:ascii="Arial" w:cs="Arial" w:eastAsia="Arial" w:hAnsi="Arial"/>
          <w:sz w:val="16"/>
          <w:szCs w:val="16"/>
          <w:color w:val="0000EE"/>
        </w:rPr>
        <w:t xml:space="preserve"> </w:t>
      </w:r>
      <w:r>
        <w:rPr>
          <w:rFonts w:ascii="Arial" w:cs="Arial" w:eastAsia="Arial" w:hAnsi="Arial"/>
          <w:sz w:val="16"/>
          <w:szCs w:val="16"/>
          <w:color w:val="000000"/>
        </w:rPr>
        <w:t>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2625725</wp:posOffset>
            </wp:positionH>
            <wp:positionV relativeFrom="page">
              <wp:posOffset>586105</wp:posOffset>
            </wp:positionV>
            <wp:extent cx="2271395" cy="471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271395" cy="47180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spacing w:after="0"/>
        <w:tabs>
          <w:tab w:leader="none" w:pos="9660" w:val="left"/>
        </w:tabs>
        <w:rPr>
          <w:sz w:val="20"/>
          <w:szCs w:val="20"/>
          <w:color w:val="auto"/>
        </w:rPr>
      </w:pPr>
      <w:r>
        <w:rPr>
          <w:rFonts w:ascii="Arial" w:cs="Arial" w:eastAsia="Arial" w:hAnsi="Arial"/>
          <w:sz w:val="16"/>
          <w:szCs w:val="16"/>
          <w:b w:val="1"/>
          <w:bCs w:val="1"/>
          <w:color w:val="auto"/>
        </w:rPr>
        <w:t>Cantor</w:t>
      </w:r>
      <w:r>
        <w:rPr>
          <w:sz w:val="20"/>
          <w:szCs w:val="20"/>
          <w:color w:val="auto"/>
        </w:rPr>
        <w:tab/>
      </w:r>
      <w:r>
        <w:rPr>
          <w:rFonts w:ascii="Arial" w:cs="Arial" w:eastAsia="Arial" w:hAnsi="Arial"/>
          <w:sz w:val="16"/>
          <w:szCs w:val="16"/>
          <w:b w:val="1"/>
          <w:bCs w:val="1"/>
          <w:color w:val="auto"/>
        </w:rPr>
        <w:t>Oppenheimer &amp; Co.</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484"/>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484"/>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3"/>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jpe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jpeg"/><Relationship Id="rId74" Type="http://schemas.openxmlformats.org/officeDocument/2006/relationships/image" Target="media/image56.png"/><Relationship Id="rId18" Type="http://schemas.openxmlformats.org/officeDocument/2006/relationships/hyperlink" Target="http://www.sec.gov/ix?doc=/Archives/edgar/data/1372299/000162828020004221/ocgn-20191231.htm" TargetMode="External"/><Relationship Id="rId26" Type="http://schemas.openxmlformats.org/officeDocument/2006/relationships/hyperlink" Target="http://www.sec.gov/Archives/edgar/data/1372299/000110465920053502/tm2017927-1_10ka.htm" TargetMode="External"/><Relationship Id="rId27" Type="http://schemas.openxmlformats.org/officeDocument/2006/relationships/hyperlink" Target="http://www.sec.gov/ix?doc=/Archives/edgar/data/1372299/000162828020007094/ocgn-20200331.htm" TargetMode="External"/><Relationship Id="rId28" Type="http://schemas.openxmlformats.org/officeDocument/2006/relationships/hyperlink" Target="http://www.sec.gov/Archives/edgar/data/1372299/000162828020012663/ocgn-20200814x8k.htm" TargetMode="External"/><Relationship Id="rId29" Type="http://schemas.openxmlformats.org/officeDocument/2006/relationships/hyperlink" Target="http://www.sec.gov/Archives/edgar/data/1372299/000162828020008718/ocgn-20200601x8k.htm" TargetMode="External"/><Relationship Id="rId30" Type="http://schemas.openxmlformats.org/officeDocument/2006/relationships/hyperlink" Target="http://www.sec.gov/ix?doc=/Archives/edgar/data/1372299/000110465920072940/tm2022453d1_8k.htm" TargetMode="External"/><Relationship Id="rId31" Type="http://schemas.openxmlformats.org/officeDocument/2006/relationships/hyperlink" Target="http://www.sec.gov/Archives/edgar/data/1372299/000162828020009473/ocgn-20200616x8k.htm" TargetMode="External"/><Relationship Id="rId32" Type="http://schemas.openxmlformats.org/officeDocument/2006/relationships/hyperlink" Target="http://www.sec.gov/Archives/edgar/data/1372299/000162828020010717/ocgn-20200728x8k.htm" TargetMode="External"/><Relationship Id="rId33" Type="http://schemas.openxmlformats.org/officeDocument/2006/relationships/hyperlink" Target="http://www.sec.gov/Archives/edgar/data/1372299/000162828020012246/ocgn-20200810x8k.htm" TargetMode="External"/><Relationship Id="rId34" Type="http://schemas.openxmlformats.org/officeDocument/2006/relationships/hyperlink" Target="http://www.sec.gov/Archives/edgar/data/1372299/000119312514416483/d822694d8a12b.htm" TargetMode="External"/><Relationship Id="rId44" Type="http://schemas.openxmlformats.org/officeDocument/2006/relationships/hyperlink" Target="http://www.sec.gov/Archives/edgar/data/1372299/000110465920000923/tm201204-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2020-08-17T05:37:41Z</dcterms:created>
  <dcterms:modified xsi:type="dcterms:W3CDTF">2020-08-17T05:37:41Z</dcterms:modified>
</cp:coreProperties>
</file>