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6"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9"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001-36751</w:t>
      </w:r>
    </w:p>
    <w:p>
      <w:pPr>
        <w:spacing w:after="0" w:line="2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OCUGEN,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3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3300" w:type="dxa"/>
            <w:vAlign w:val="bottom"/>
          </w:tcPr>
          <w:p>
            <w:pPr>
              <w:jc w:val="center"/>
              <w:ind w:left="2175"/>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jc w:val="center"/>
              <w:ind w:right="2055"/>
              <w:spacing w:after="0"/>
              <w:rPr>
                <w:sz w:val="20"/>
                <w:szCs w:val="20"/>
                <w:color w:val="auto"/>
              </w:rPr>
            </w:pPr>
            <w:r>
              <w:rPr>
                <w:rFonts w:ascii="Times New Roman" w:cs="Times New Roman" w:eastAsia="Times New Roman" w:hAnsi="Times New Roman"/>
                <w:sz w:val="17"/>
                <w:szCs w:val="17"/>
                <w:b w:val="1"/>
                <w:bCs w:val="1"/>
                <w:color w:val="auto"/>
                <w:w w:val="99"/>
              </w:rPr>
              <w:t>04-3522315</w:t>
            </w:r>
          </w:p>
        </w:tc>
      </w:tr>
      <w:tr>
        <w:trPr>
          <w:trHeight w:val="183"/>
        </w:trPr>
        <w:tc>
          <w:tcPr>
            <w:tcW w:w="7740" w:type="dxa"/>
            <w:vAlign w:val="bottom"/>
            <w:gridSpan w:val="6"/>
          </w:tcPr>
          <w:p>
            <w:pPr>
              <w:jc w:val="center"/>
              <w:ind w:right="2200"/>
              <w:spacing w:after="0" w:line="183"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3440" w:type="dxa"/>
            <w:vAlign w:val="bottom"/>
          </w:tcPr>
          <w:p>
            <w:pPr>
              <w:jc w:val="center"/>
              <w:ind w:right="2055"/>
              <w:spacing w:after="0" w:line="183" w:lineRule="exact"/>
              <w:rPr>
                <w:sz w:val="20"/>
                <w:szCs w:val="20"/>
                <w:color w:val="auto"/>
              </w:rPr>
            </w:pPr>
            <w:r>
              <w:rPr>
                <w:rFonts w:ascii="Times New Roman" w:cs="Times New Roman" w:eastAsia="Times New Roman" w:hAnsi="Times New Roman"/>
                <w:sz w:val="17"/>
                <w:szCs w:val="17"/>
                <w:color w:val="auto"/>
              </w:rPr>
              <w:t>(I.R.S. Employer</w:t>
            </w:r>
          </w:p>
        </w:tc>
      </w:tr>
      <w:tr>
        <w:trPr>
          <w:trHeight w:val="222"/>
        </w:trPr>
        <w:tc>
          <w:tcPr>
            <w:tcW w:w="7740" w:type="dxa"/>
            <w:vAlign w:val="bottom"/>
            <w:gridSpan w:val="6"/>
          </w:tcPr>
          <w:p>
            <w:pPr>
              <w:jc w:val="center"/>
              <w:ind w:right="220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440" w:type="dxa"/>
            <w:vAlign w:val="bottom"/>
          </w:tcPr>
          <w:p>
            <w:pPr>
              <w:jc w:val="center"/>
              <w:ind w:right="2055"/>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300"/>
        </w:trPr>
        <w:tc>
          <w:tcPr>
            <w:tcW w:w="3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11 Great Valley Parkway</w:t>
            </w:r>
          </w:p>
        </w:tc>
        <w:tc>
          <w:tcPr>
            <w:tcW w:w="3440" w:type="dxa"/>
            <w:vAlign w:val="bottom"/>
          </w:tcPr>
          <w:p>
            <w:pPr>
              <w:spacing w:after="0"/>
              <w:rPr>
                <w:sz w:val="24"/>
                <w:szCs w:val="24"/>
                <w:color w:val="auto"/>
              </w:rPr>
            </w:pPr>
          </w:p>
        </w:tc>
      </w:tr>
      <w:tr>
        <w:trPr>
          <w:trHeight w:val="220"/>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Malvern, Pennsylvania 19355</w:t>
            </w:r>
          </w:p>
        </w:tc>
        <w:tc>
          <w:tcPr>
            <w:tcW w:w="3440" w:type="dxa"/>
            <w:vAlign w:val="bottom"/>
          </w:tcPr>
          <w:p>
            <w:pPr>
              <w:spacing w:after="0"/>
              <w:rPr>
                <w:sz w:val="19"/>
                <w:szCs w:val="19"/>
                <w:color w:val="auto"/>
              </w:rPr>
            </w:pPr>
          </w:p>
        </w:tc>
      </w:tr>
      <w:tr>
        <w:trPr>
          <w:trHeight w:val="222"/>
        </w:trPr>
        <w:tc>
          <w:tcPr>
            <w:tcW w:w="3300" w:type="dxa"/>
            <w:vAlign w:val="bottom"/>
          </w:tcPr>
          <w:p>
            <w:pPr>
              <w:spacing w:after="0"/>
              <w:rPr>
                <w:sz w:val="19"/>
                <w:szCs w:val="19"/>
                <w:color w:val="auto"/>
              </w:rPr>
            </w:pPr>
          </w:p>
        </w:tc>
        <w:tc>
          <w:tcPr>
            <w:tcW w:w="4440" w:type="dxa"/>
            <w:vAlign w:val="bottom"/>
            <w:gridSpan w:val="5"/>
          </w:tcPr>
          <w:p>
            <w:pPr>
              <w:jc w:val="center"/>
              <w:ind w:left="58"/>
              <w:spacing w:after="0"/>
              <w:rPr>
                <w:sz w:val="20"/>
                <w:szCs w:val="20"/>
                <w:color w:val="auto"/>
              </w:rPr>
            </w:pPr>
            <w:r>
              <w:rPr>
                <w:rFonts w:ascii="Times New Roman" w:cs="Times New Roman" w:eastAsia="Times New Roman" w:hAnsi="Times New Roman"/>
                <w:sz w:val="17"/>
                <w:szCs w:val="17"/>
                <w:color w:val="auto"/>
              </w:rPr>
              <w:t>(Address of principal executive offices, including zip code)</w:t>
            </w:r>
          </w:p>
        </w:tc>
        <w:tc>
          <w:tcPr>
            <w:tcW w:w="3440" w:type="dxa"/>
            <w:vAlign w:val="bottom"/>
          </w:tcPr>
          <w:p>
            <w:pPr>
              <w:spacing w:after="0"/>
              <w:rPr>
                <w:sz w:val="19"/>
                <w:szCs w:val="19"/>
                <w:color w:val="auto"/>
              </w:rPr>
            </w:pPr>
          </w:p>
        </w:tc>
      </w:tr>
      <w:tr>
        <w:trPr>
          <w:trHeight w:val="223"/>
        </w:trPr>
        <w:tc>
          <w:tcPr>
            <w:tcW w:w="3300" w:type="dxa"/>
            <w:vAlign w:val="bottom"/>
          </w:tcPr>
          <w:p>
            <w:pPr>
              <w:spacing w:after="0"/>
              <w:rPr>
                <w:sz w:val="19"/>
                <w:szCs w:val="19"/>
                <w:color w:val="auto"/>
              </w:rPr>
            </w:pPr>
          </w:p>
        </w:tc>
        <w:tc>
          <w:tcPr>
            <w:tcW w:w="4100" w:type="dxa"/>
            <w:vAlign w:val="bottom"/>
            <w:gridSpan w:val="3"/>
          </w:tcPr>
          <w:p>
            <w:pPr>
              <w:jc w:val="right"/>
              <w:ind w:right="1195"/>
              <w:spacing w:after="0"/>
              <w:rPr>
                <w:sz w:val="20"/>
                <w:szCs w:val="20"/>
                <w:color w:val="auto"/>
              </w:rPr>
            </w:pPr>
            <w:r>
              <w:rPr>
                <w:rFonts w:ascii="Times New Roman" w:cs="Times New Roman" w:eastAsia="Times New Roman" w:hAnsi="Times New Roman"/>
                <w:sz w:val="17"/>
                <w:szCs w:val="17"/>
                <w:b w:val="1"/>
                <w:bCs w:val="1"/>
                <w:color w:val="auto"/>
              </w:rPr>
              <w:t>(484) 328-4701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00"/>
        </w:trPr>
        <w:tc>
          <w:tcPr>
            <w:tcW w:w="3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3440" w:type="dxa"/>
            <w:vAlign w:val="bottom"/>
          </w:tcPr>
          <w:p>
            <w:pPr>
              <w:spacing w:after="0"/>
              <w:rPr>
                <w:sz w:val="17"/>
                <w:szCs w:val="17"/>
                <w:color w:val="auto"/>
              </w:rPr>
            </w:pPr>
          </w:p>
        </w:tc>
      </w:tr>
      <w:tr>
        <w:trPr>
          <w:trHeight w:val="190"/>
        </w:trPr>
        <w:tc>
          <w:tcPr>
            <w:tcW w:w="3300" w:type="dxa"/>
            <w:vAlign w:val="bottom"/>
          </w:tcPr>
          <w:p>
            <w:pPr>
              <w:spacing w:after="0"/>
              <w:rPr>
                <w:sz w:val="16"/>
                <w:szCs w:val="16"/>
                <w:color w:val="auto"/>
              </w:rPr>
            </w:pPr>
          </w:p>
        </w:tc>
        <w:tc>
          <w:tcPr>
            <w:tcW w:w="44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tc>
        <w:tc>
          <w:tcPr>
            <w:tcW w:w="3440" w:type="dxa"/>
            <w:vAlign w:val="bottom"/>
          </w:tcPr>
          <w:p>
            <w:pPr>
              <w:spacing w:after="0"/>
              <w:rPr>
                <w:sz w:val="16"/>
                <w:szCs w:val="16"/>
                <w:color w:val="auto"/>
              </w:rPr>
            </w:pPr>
          </w:p>
        </w:tc>
      </w:tr>
      <w:tr>
        <w:trPr>
          <w:trHeight w:val="238"/>
        </w:trPr>
        <w:tc>
          <w:tcPr>
            <w:tcW w:w="3300" w:type="dxa"/>
            <w:vAlign w:val="bottom"/>
          </w:tcPr>
          <w:p>
            <w:pPr>
              <w:spacing w:after="0"/>
              <w:rPr>
                <w:sz w:val="20"/>
                <w:szCs w:val="20"/>
                <w:color w:val="auto"/>
              </w:rPr>
            </w:pPr>
          </w:p>
        </w:tc>
        <w:tc>
          <w:tcPr>
            <w:tcW w:w="4440" w:type="dxa"/>
            <w:vAlign w:val="bottom"/>
            <w:gridSpan w:val="5"/>
          </w:tcPr>
          <w:p>
            <w:pPr>
              <w:jc w:val="center"/>
              <w:ind w:left="58"/>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440" w:type="dxa"/>
            <w:vAlign w:val="bottom"/>
          </w:tcPr>
          <w:p>
            <w:pPr>
              <w:spacing w:after="0"/>
              <w:rPr>
                <w:sz w:val="20"/>
                <w:szCs w:val="20"/>
                <w:color w:val="auto"/>
              </w:rPr>
            </w:pPr>
          </w:p>
        </w:tc>
      </w:tr>
      <w:tr>
        <w:trPr>
          <w:trHeight w:val="206"/>
        </w:trPr>
        <w:tc>
          <w:tcPr>
            <w:tcW w:w="3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Trading</w:t>
            </w:r>
          </w:p>
        </w:tc>
        <w:tc>
          <w:tcPr>
            <w:tcW w:w="34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Name of each exchange</w:t>
            </w:r>
          </w:p>
        </w:tc>
      </w:tr>
      <w:tr>
        <w:trPr>
          <w:trHeight w:val="226"/>
        </w:trPr>
        <w:tc>
          <w:tcPr>
            <w:tcW w:w="3300" w:type="dxa"/>
            <w:vAlign w:val="bottom"/>
          </w:tcPr>
          <w:p>
            <w:pPr>
              <w:jc w:val="center"/>
              <w:ind w:left="235"/>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34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on which registered</w:t>
            </w:r>
          </w:p>
        </w:tc>
      </w:tr>
      <w:tr>
        <w:trPr>
          <w:trHeight w:val="29"/>
        </w:trPr>
        <w:tc>
          <w:tcPr>
            <w:tcW w:w="3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170"/>
        </w:trPr>
        <w:tc>
          <w:tcPr>
            <w:tcW w:w="3300" w:type="dxa"/>
            <w:vAlign w:val="bottom"/>
          </w:tcPr>
          <w:p>
            <w:pPr>
              <w:jc w:val="center"/>
              <w:ind w:left="235"/>
              <w:spacing w:after="0" w:line="170" w:lineRule="exact"/>
              <w:rPr>
                <w:sz w:val="20"/>
                <w:szCs w:val="20"/>
                <w:color w:val="auto"/>
              </w:rPr>
            </w:pPr>
            <w:r>
              <w:rPr>
                <w:rFonts w:ascii="Times New Roman" w:cs="Times New Roman" w:eastAsia="Times New Roman" w:hAnsi="Times New Roman"/>
                <w:sz w:val="17"/>
                <w:szCs w:val="17"/>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gridSpan w:val="3"/>
          </w:tcPr>
          <w:p>
            <w:pPr>
              <w:jc w:val="center"/>
              <w:ind w:right="340"/>
              <w:spacing w:after="0" w:line="170" w:lineRule="exact"/>
              <w:rPr>
                <w:sz w:val="20"/>
                <w:szCs w:val="20"/>
                <w:color w:val="auto"/>
              </w:rPr>
            </w:pPr>
            <w:r>
              <w:rPr>
                <w:rFonts w:ascii="Times New Roman" w:cs="Times New Roman" w:eastAsia="Times New Roman" w:hAnsi="Times New Roman"/>
                <w:sz w:val="17"/>
                <w:szCs w:val="17"/>
                <w:b w:val="1"/>
                <w:bCs w:val="1"/>
                <w:color w:val="auto"/>
                <w:w w:val="97"/>
              </w:rPr>
              <w:t>OCGN</w:t>
            </w:r>
          </w:p>
        </w:tc>
        <w:tc>
          <w:tcPr>
            <w:tcW w:w="3440" w:type="dxa"/>
            <w:vAlign w:val="bottom"/>
          </w:tcPr>
          <w:p>
            <w:pPr>
              <w:jc w:val="center"/>
              <w:ind w:right="155"/>
              <w:spacing w:after="0" w:line="170" w:lineRule="exact"/>
              <w:rPr>
                <w:sz w:val="20"/>
                <w:szCs w:val="20"/>
                <w:color w:val="auto"/>
              </w:rPr>
            </w:pPr>
            <w:r>
              <w:rPr>
                <w:rFonts w:ascii="Times New Roman" w:cs="Times New Roman" w:eastAsia="Times New Roman" w:hAnsi="Times New Roman"/>
                <w:sz w:val="17"/>
                <w:szCs w:val="17"/>
                <w:b w:val="1"/>
                <w:bCs w:val="1"/>
                <w:color w:val="auto"/>
              </w:rPr>
              <w:t>The Nasdaq Stock Market LLC</w:t>
            </w:r>
          </w:p>
        </w:tc>
      </w:tr>
      <w:tr>
        <w:trPr>
          <w:trHeight w:val="226"/>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(The Nasdaq Capital Market)</w:t>
            </w:r>
          </w:p>
        </w:tc>
      </w:tr>
    </w:tbl>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2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p>
      <w:pPr>
        <w:spacing w:after="0" w:line="36" w:lineRule="exact"/>
        <w:rPr>
          <w:sz w:val="24"/>
          <w:szCs w:val="24"/>
          <w:color w:val="auto"/>
        </w:rPr>
      </w:pPr>
    </w:p>
    <w:p>
      <w:pPr>
        <w:spacing w:after="0" w:line="196" w:lineRule="exact"/>
        <w:tabs>
          <w:tab w:leader="none" w:pos="62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1"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1"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0"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06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Accelerated filer</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06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Emerging growth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292"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1"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72" w:lineRule="exact"/>
        <w:rPr>
          <w:sz w:val="24"/>
          <w:szCs w:val="24"/>
          <w:color w:val="auto"/>
        </w:rPr>
      </w:pPr>
    </w:p>
    <w:p>
      <w:pPr>
        <w:jc w:val="both"/>
        <w:ind w:right="20"/>
        <w:spacing w:after="0" w:line="225"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71" w:lineRule="exact"/>
        <w:rPr>
          <w:sz w:val="24"/>
          <w:szCs w:val="24"/>
          <w:color w:val="auto"/>
        </w:rPr>
      </w:pPr>
    </w:p>
    <w:p>
      <w:pPr>
        <w:jc w:val="both"/>
        <w:ind w:right="20"/>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ectPr>
          <w:pgSz w:w="11900" w:h="16887" w:orient="portrait"/>
          <w:cols w:equalWidth="0" w:num="1">
            <w:col w:w="11240"/>
          </w:cols>
          <w:pgMar w:left="320" w:top="337" w:right="339" w:bottom="0" w:gutter="0" w:footer="0" w:header="0"/>
        </w:sectPr>
      </w:pPr>
    </w:p>
    <w:bookmarkStart w:id="1" w:name="page2"/>
    <w:bookmarkEnd w:id="1"/>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As of June 30, 2025, the last day of the registrant's most recently completed second fiscal quarter, the aggregate market value of the common stock held by non-affiliates of the registrant was approximately $279.2 million, based upon the closing price of the registrant's common stock on June 30,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February 24, 2026, there were 327,897,296 outstanding shares of the registrant's common stock, $0.01 par value per share.</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4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Part III of this Annual Report on Form 10-K ("Annual Report") incorporates certain information by reference from the registrant's proxy statement for the 2026 annual meeting of stockholders to be filed no later than 120 days after the end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gridSpan w:val="10"/>
          </w:tcPr>
          <w:p>
            <w:pPr>
              <w:jc w:val="center"/>
              <w:ind w:right="3360"/>
              <w:spacing w:after="0"/>
              <w:rPr>
                <w:sz w:val="20"/>
                <w:szCs w:val="20"/>
                <w:color w:val="auto"/>
              </w:rPr>
            </w:pPr>
            <w:r>
              <w:rPr>
                <w:rFonts w:ascii="Times New Roman" w:cs="Times New Roman" w:eastAsia="Times New Roman" w:hAnsi="Times New Roman"/>
                <w:sz w:val="18"/>
                <w:szCs w:val="18"/>
                <w:color w:val="0000FF"/>
              </w:rPr>
              <w:t>Part I</w:t>
            </w:r>
          </w:p>
        </w:tc>
        <w:tc>
          <w:tcPr>
            <w:tcW w:w="0" w:type="dxa"/>
            <w:vAlign w:val="bottom"/>
          </w:tcPr>
          <w:p>
            <w:pPr>
              <w:spacing w:after="0"/>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w:t>
            </w:r>
          </w:p>
        </w:tc>
        <w:tc>
          <w:tcPr>
            <w:tcW w:w="4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Business</w:t>
            </w:r>
          </w:p>
        </w:tc>
        <w:tc>
          <w:tcPr>
            <w:tcW w:w="400" w:type="dxa"/>
            <w:vAlign w:val="bottom"/>
            <w:tcBorders>
              <w:top w:val="single" w:sz="8" w:color="0000FF"/>
            </w:tcBorders>
            <w:gridSpan w:val="2"/>
          </w:tcPr>
          <w:p>
            <w:pPr>
              <w:spacing w:after="0"/>
              <w:rPr>
                <w:sz w:val="21"/>
                <w:szCs w:val="21"/>
                <w:color w:val="auto"/>
              </w:rPr>
            </w:pPr>
          </w:p>
        </w:tc>
        <w:tc>
          <w:tcPr>
            <w:tcW w:w="336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1A.</w:t>
            </w:r>
          </w:p>
        </w:tc>
        <w:tc>
          <w:tcPr>
            <w:tcW w:w="400" w:type="dxa"/>
            <w:vAlign w:val="bottom"/>
          </w:tcPr>
          <w:p>
            <w:pPr>
              <w:spacing w:after="0"/>
              <w:rPr>
                <w:sz w:val="21"/>
                <w:szCs w:val="21"/>
                <w:color w:val="auto"/>
              </w:rPr>
            </w:pP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140" w:type="dxa"/>
            <w:vAlign w:val="bottom"/>
            <w:gridSpan w:val="2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1B.</w:t>
            </w:r>
          </w:p>
        </w:tc>
        <w:tc>
          <w:tcPr>
            <w:tcW w:w="420" w:type="dxa"/>
            <w:vAlign w:val="bottom"/>
            <w:gridSpan w:val="2"/>
          </w:tcPr>
          <w:p>
            <w:pPr>
              <w:spacing w:after="0"/>
              <w:rPr>
                <w:sz w:val="21"/>
                <w:szCs w:val="21"/>
                <w:color w:val="auto"/>
              </w:rPr>
            </w:pPr>
          </w:p>
        </w:tc>
        <w:tc>
          <w:tcPr>
            <w:tcW w:w="2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00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1C.</w:t>
            </w:r>
          </w:p>
        </w:tc>
        <w:tc>
          <w:tcPr>
            <w:tcW w:w="440" w:type="dxa"/>
            <w:vAlign w:val="bottom"/>
            <w:gridSpan w:val="3"/>
          </w:tcPr>
          <w:p>
            <w:pPr>
              <w:spacing w:after="0"/>
              <w:rPr>
                <w:sz w:val="21"/>
                <w:szCs w:val="21"/>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0" w:type="dxa"/>
            <w:vAlign w:val="bottom"/>
          </w:tcPr>
          <w:p>
            <w:pPr>
              <w:spacing w:after="0"/>
              <w:rPr>
                <w:sz w:val="1"/>
                <w:szCs w:val="1"/>
                <w:color w:val="auto"/>
              </w:rPr>
            </w:pPr>
          </w:p>
        </w:tc>
      </w:tr>
      <w:tr>
        <w:trPr>
          <w:trHeight w:val="250"/>
        </w:trPr>
        <w:tc>
          <w:tcPr>
            <w:tcW w:w="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2.</w:t>
            </w:r>
          </w:p>
        </w:tc>
        <w:tc>
          <w:tcPr>
            <w:tcW w:w="440" w:type="dxa"/>
            <w:vAlign w:val="bottom"/>
            <w:gridSpan w:val="3"/>
          </w:tcPr>
          <w:p>
            <w:pPr>
              <w:spacing w:after="0"/>
              <w:rPr>
                <w:sz w:val="21"/>
                <w:szCs w:val="21"/>
                <w:color w:val="auto"/>
              </w:rPr>
            </w:pP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04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3.</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4.</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rPr>
              <w:t>Part II</w:t>
            </w:r>
          </w:p>
        </w:tc>
        <w:tc>
          <w:tcPr>
            <w:tcW w:w="332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5.</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7.</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7A</w:t>
            </w:r>
            <w:r>
              <w:rPr>
                <w:rFonts w:ascii="Times New Roman" w:cs="Times New Roman" w:eastAsia="Times New Roman" w:hAnsi="Times New Roman"/>
                <w:sz w:val="18"/>
                <w:szCs w:val="18"/>
                <w:color w:val="000000"/>
              </w:rPr>
              <w:t>.</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0" w:type="dxa"/>
            <w:vAlign w:val="bottom"/>
          </w:tcPr>
          <w:p>
            <w:pPr>
              <w:spacing w:after="0"/>
              <w:rPr>
                <w:sz w:val="1"/>
                <w:szCs w:val="1"/>
                <w:color w:val="auto"/>
              </w:rPr>
            </w:pPr>
          </w:p>
        </w:tc>
      </w:tr>
      <w:tr>
        <w:trPr>
          <w:trHeight w:val="250"/>
        </w:trPr>
        <w:tc>
          <w:tcPr>
            <w:tcW w:w="6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480" w:type="dxa"/>
            <w:vAlign w:val="bottom"/>
            <w:gridSpan w:val="5"/>
          </w:tcPr>
          <w:p>
            <w:pPr>
              <w:spacing w:after="0"/>
              <w:rPr>
                <w:sz w:val="21"/>
                <w:szCs w:val="21"/>
                <w:color w:val="auto"/>
              </w:rPr>
            </w:pPr>
          </w:p>
        </w:tc>
        <w:tc>
          <w:tcPr>
            <w:tcW w:w="43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68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9.</w:t>
            </w: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9A.</w:t>
            </w:r>
          </w:p>
        </w:tc>
        <w:tc>
          <w:tcPr>
            <w:tcW w:w="400" w:type="dxa"/>
            <w:vAlign w:val="bottom"/>
          </w:tcPr>
          <w:p>
            <w:pPr>
              <w:spacing w:after="0"/>
              <w:rPr>
                <w:sz w:val="21"/>
                <w:szCs w:val="21"/>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0" w:type="dxa"/>
            <w:vAlign w:val="bottom"/>
          </w:tcPr>
          <w:p>
            <w:pPr>
              <w:spacing w:after="0"/>
              <w:rPr>
                <w:sz w:val="1"/>
                <w:szCs w:val="1"/>
                <w:color w:val="auto"/>
              </w:rPr>
            </w:pPr>
          </w:p>
        </w:tc>
      </w:tr>
      <w:tr>
        <w:trPr>
          <w:trHeight w:val="250"/>
        </w:trPr>
        <w:tc>
          <w:tcPr>
            <w:tcW w:w="6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9B.</w:t>
            </w:r>
          </w:p>
        </w:tc>
        <w:tc>
          <w:tcPr>
            <w:tcW w:w="2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28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9C.</w:t>
            </w:r>
          </w:p>
        </w:tc>
        <w:tc>
          <w:tcPr>
            <w:tcW w:w="420" w:type="dxa"/>
            <w:vAlign w:val="bottom"/>
            <w:gridSpan w:val="2"/>
          </w:tcPr>
          <w:p>
            <w:pPr>
              <w:spacing w:after="0"/>
              <w:rPr>
                <w:sz w:val="21"/>
                <w:szCs w:val="21"/>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gridSpan w:val="7"/>
          </w:tcPr>
          <w:p>
            <w:pPr>
              <w:jc w:val="center"/>
              <w:ind w:right="160"/>
              <w:spacing w:after="0"/>
              <w:rPr>
                <w:sz w:val="20"/>
                <w:szCs w:val="20"/>
                <w:color w:val="auto"/>
              </w:rPr>
            </w:pPr>
            <w:r>
              <w:rPr>
                <w:rFonts w:ascii="Times New Roman" w:cs="Times New Roman" w:eastAsia="Times New Roman" w:hAnsi="Times New Roman"/>
                <w:sz w:val="18"/>
                <w:szCs w:val="18"/>
                <w:color w:val="0000FF"/>
              </w:rPr>
              <w:t>Part III</w:t>
            </w:r>
          </w:p>
        </w:tc>
        <w:tc>
          <w:tcPr>
            <w:tcW w:w="314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 w:type="dxa"/>
            <w:vAlign w:val="bottom"/>
            <w:tcBorders>
              <w:bottom w:val="single" w:sz="8" w:color="0000FF"/>
            </w:tcBorders>
            <w:gridSpan w:val="4"/>
          </w:tcPr>
          <w:p>
            <w:pPr>
              <w:spacing w:after="0" w:line="203" w:lineRule="exact"/>
              <w:rPr>
                <w:sz w:val="20"/>
                <w:szCs w:val="20"/>
                <w:color w:val="auto"/>
              </w:rPr>
            </w:pPr>
            <w:r>
              <w:rPr>
                <w:rFonts w:ascii="Times New Roman" w:cs="Times New Roman" w:eastAsia="Times New Roman" w:hAnsi="Times New Roman"/>
                <w:sz w:val="18"/>
                <w:szCs w:val="18"/>
                <w:color w:val="0000FF"/>
                <w:w w:val="99"/>
              </w:rPr>
              <w:t>Item 10.</w:t>
            </w:r>
          </w:p>
        </w:tc>
        <w:tc>
          <w:tcPr>
            <w:tcW w:w="20" w:type="dxa"/>
            <w:vAlign w:val="bottom"/>
          </w:tcPr>
          <w:p>
            <w:pPr>
              <w:spacing w:after="0"/>
              <w:rPr>
                <w:sz w:val="19"/>
                <w:szCs w:val="19"/>
                <w:color w:val="auto"/>
              </w:rPr>
            </w:pPr>
          </w:p>
        </w:tc>
        <w:tc>
          <w:tcPr>
            <w:tcW w:w="460" w:type="dxa"/>
            <w:vAlign w:val="bottom"/>
            <w:gridSpan w:val="4"/>
          </w:tcPr>
          <w:p>
            <w:pPr>
              <w:spacing w:after="0"/>
              <w:rPr>
                <w:sz w:val="19"/>
                <w:szCs w:val="19"/>
                <w:color w:val="auto"/>
              </w:rPr>
            </w:pPr>
          </w:p>
        </w:tc>
        <w:tc>
          <w:tcPr>
            <w:tcW w:w="42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20" w:type="dxa"/>
            <w:vAlign w:val="bottom"/>
            <w:tcBorders>
              <w:top w:val="single" w:sz="8" w:color="0000FF"/>
              <w:bottom w:val="single" w:sz="8" w:color="0000FF"/>
            </w:tcBorders>
            <w:gridSpan w:val="6"/>
          </w:tcPr>
          <w:p>
            <w:pPr>
              <w:spacing w:after="0"/>
              <w:rPr>
                <w:sz w:val="19"/>
                <w:szCs w:val="19"/>
                <w:color w:val="auto"/>
              </w:rPr>
            </w:pPr>
          </w:p>
        </w:tc>
        <w:tc>
          <w:tcPr>
            <w:tcW w:w="33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540" w:type="dxa"/>
            <w:vAlign w:val="bottom"/>
            <w:tcBorders>
              <w:bottom w:val="single" w:sz="8" w:color="0000FF"/>
            </w:tcBorders>
            <w:gridSpan w:val="6"/>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0" w:type="dxa"/>
            <w:vAlign w:val="bottom"/>
            <w:tcBorders>
              <w:bottom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00" w:type="dxa"/>
            <w:vAlign w:val="bottom"/>
            <w:tcBorders>
              <w:bottom w:val="single" w:sz="8" w:color="0000FF"/>
            </w:tcBorders>
            <w:gridSpan w:val="3"/>
            <w:vMerge w:val="continue"/>
          </w:tcPr>
          <w:p>
            <w:pPr>
              <w:spacing w:after="0"/>
              <w:rPr>
                <w:sz w:val="18"/>
                <w:szCs w:val="18"/>
                <w:color w:val="auto"/>
              </w:rPr>
            </w:pPr>
          </w:p>
        </w:tc>
        <w:tc>
          <w:tcPr>
            <w:tcW w:w="40" w:type="dxa"/>
            <w:vAlign w:val="bottom"/>
            <w:gridSpan w:val="2"/>
          </w:tcPr>
          <w:p>
            <w:pPr>
              <w:spacing w:after="0"/>
              <w:rPr>
                <w:sz w:val="18"/>
                <w:szCs w:val="18"/>
                <w:color w:val="auto"/>
              </w:rPr>
            </w:pPr>
          </w:p>
        </w:tc>
        <w:tc>
          <w:tcPr>
            <w:tcW w:w="460" w:type="dxa"/>
            <w:vAlign w:val="bottom"/>
            <w:gridSpan w:val="4"/>
          </w:tcPr>
          <w:p>
            <w:pPr>
              <w:spacing w:after="0"/>
              <w:rPr>
                <w:sz w:val="18"/>
                <w:szCs w:val="18"/>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0" w:type="dxa"/>
            <w:vAlign w:val="bottom"/>
          </w:tcPr>
          <w:p>
            <w:pPr>
              <w:spacing w:after="0"/>
              <w:rPr>
                <w:sz w:val="1"/>
                <w:szCs w:val="1"/>
                <w:color w:val="auto"/>
              </w:rPr>
            </w:pPr>
          </w:p>
        </w:tc>
      </w:tr>
      <w:tr>
        <w:trPr>
          <w:trHeight w:val="20"/>
        </w:trPr>
        <w:tc>
          <w:tcPr>
            <w:tcW w:w="6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Item 12.</w:t>
            </w:r>
          </w:p>
        </w:tc>
        <w:tc>
          <w:tcPr>
            <w:tcW w:w="460" w:type="dxa"/>
            <w:vAlign w:val="bottom"/>
            <w:gridSpan w:val="4"/>
          </w:tcPr>
          <w:p>
            <w:pPr>
              <w:spacing w:after="0" w:line="20" w:lineRule="exact"/>
              <w:rPr>
                <w:sz w:val="1"/>
                <w:szCs w:val="1"/>
                <w:color w:val="auto"/>
              </w:rPr>
            </w:pPr>
          </w:p>
        </w:tc>
        <w:tc>
          <w:tcPr>
            <w:tcW w:w="1540" w:type="dxa"/>
            <w:vAlign w:val="bottom"/>
            <w:tcBorders>
              <w:bottom w:val="single" w:sz="8" w:color="0000FF"/>
            </w:tcBorders>
            <w:gridSpan w:val="6"/>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0" w:type="dxa"/>
            <w:vAlign w:val="bottom"/>
            <w:tcBorders>
              <w:bottom w:val="single" w:sz="8" w:color="0000FF"/>
            </w:tcBorders>
            <w:gridSpan w:val="5"/>
            <w:vMerge w:val="continue"/>
          </w:tcPr>
          <w:p>
            <w:pPr>
              <w:spacing w:after="0"/>
              <w:rPr>
                <w:sz w:val="18"/>
                <w:szCs w:val="18"/>
                <w:color w:val="auto"/>
              </w:rPr>
            </w:pPr>
          </w:p>
        </w:tc>
        <w:tc>
          <w:tcPr>
            <w:tcW w:w="460" w:type="dxa"/>
            <w:vAlign w:val="bottom"/>
            <w:gridSpan w:val="4"/>
          </w:tcPr>
          <w:p>
            <w:pPr>
              <w:spacing w:after="0"/>
              <w:rPr>
                <w:sz w:val="18"/>
                <w:szCs w:val="18"/>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0" w:type="dxa"/>
            <w:vAlign w:val="bottom"/>
          </w:tcPr>
          <w:p>
            <w:pPr>
              <w:spacing w:after="0"/>
              <w:rPr>
                <w:sz w:val="1"/>
                <w:szCs w:val="1"/>
                <w:color w:val="auto"/>
              </w:rPr>
            </w:pPr>
          </w:p>
        </w:tc>
      </w:tr>
      <w:tr>
        <w:trPr>
          <w:trHeight w:val="20"/>
        </w:trPr>
        <w:tc>
          <w:tcPr>
            <w:tcW w:w="1100" w:type="dxa"/>
            <w:vAlign w:val="bottom"/>
            <w:gridSpan w:val="9"/>
          </w:tcPr>
          <w:p>
            <w:pPr>
              <w:spacing w:after="0" w:line="20" w:lineRule="exact"/>
              <w:rPr>
                <w:sz w:val="1"/>
                <w:szCs w:val="1"/>
                <w:color w:val="auto"/>
              </w:rPr>
            </w:pPr>
          </w:p>
        </w:tc>
        <w:tc>
          <w:tcPr>
            <w:tcW w:w="1540" w:type="dxa"/>
            <w:vAlign w:val="bottom"/>
            <w:tcBorders>
              <w:bottom w:val="single" w:sz="8" w:color="0000FF"/>
            </w:tcBorders>
            <w:gridSpan w:val="6"/>
          </w:tcPr>
          <w:p>
            <w:pPr>
              <w:spacing w:after="0" w:line="20" w:lineRule="exact"/>
              <w:rPr>
                <w:sz w:val="1"/>
                <w:szCs w:val="1"/>
                <w:color w:val="auto"/>
              </w:rPr>
            </w:pPr>
          </w:p>
        </w:tc>
        <w:tc>
          <w:tcPr>
            <w:tcW w:w="1320" w:type="dxa"/>
            <w:vAlign w:val="bottom"/>
            <w:tcBorders>
              <w:bottom w:val="single" w:sz="8" w:color="0000FF"/>
            </w:tcBorders>
            <w:gridSpan w:val="4"/>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140" w:type="dxa"/>
            <w:vAlign w:val="bottom"/>
            <w:tcBorders>
              <w:bottom w:val="single" w:sz="8" w:color="0000FF"/>
            </w:tcBorders>
            <w:gridSpan w:val="3"/>
          </w:tcPr>
          <w:p>
            <w:pPr>
              <w:spacing w:after="0" w:line="20" w:lineRule="exact"/>
              <w:rPr>
                <w:sz w:val="1"/>
                <w:szCs w:val="1"/>
                <w:color w:val="auto"/>
              </w:rPr>
            </w:pPr>
          </w:p>
        </w:tc>
        <w:tc>
          <w:tcPr>
            <w:tcW w:w="520" w:type="dxa"/>
            <w:vAlign w:val="bottom"/>
            <w:tcBorders>
              <w:bottom w:val="single" w:sz="8" w:color="0000FF"/>
            </w:tcBorders>
            <w:gridSpan w:val="6"/>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1840" w:type="dxa"/>
            <w:vAlign w:val="bottom"/>
            <w:tcBorders>
              <w:bottom w:val="single" w:sz="8" w:color="0000FF"/>
            </w:tcBorders>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13.</w:t>
            </w:r>
          </w:p>
        </w:tc>
        <w:tc>
          <w:tcPr>
            <w:tcW w:w="460" w:type="dxa"/>
            <w:vAlign w:val="bottom"/>
            <w:gridSpan w:val="4"/>
          </w:tcPr>
          <w:p>
            <w:pPr>
              <w:spacing w:after="0"/>
              <w:rPr>
                <w:sz w:val="18"/>
                <w:szCs w:val="18"/>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0" w:type="dxa"/>
            <w:vAlign w:val="bottom"/>
          </w:tcPr>
          <w:p>
            <w:pPr>
              <w:spacing w:after="0"/>
              <w:rPr>
                <w:sz w:val="1"/>
                <w:szCs w:val="1"/>
                <w:color w:val="auto"/>
              </w:rPr>
            </w:pPr>
          </w:p>
        </w:tc>
      </w:tr>
      <w:tr>
        <w:trPr>
          <w:trHeight w:val="20"/>
        </w:trPr>
        <w:tc>
          <w:tcPr>
            <w:tcW w:w="1100" w:type="dxa"/>
            <w:vAlign w:val="bottom"/>
            <w:gridSpan w:val="9"/>
          </w:tcPr>
          <w:p>
            <w:pPr>
              <w:spacing w:after="0" w:line="20" w:lineRule="exact"/>
              <w:rPr>
                <w:sz w:val="1"/>
                <w:szCs w:val="1"/>
                <w:color w:val="auto"/>
              </w:rPr>
            </w:pPr>
          </w:p>
        </w:tc>
        <w:tc>
          <w:tcPr>
            <w:tcW w:w="1540" w:type="dxa"/>
            <w:vAlign w:val="bottom"/>
            <w:tcBorders>
              <w:bottom w:val="single" w:sz="8" w:color="0000FF"/>
            </w:tcBorders>
            <w:gridSpan w:val="6"/>
          </w:tcPr>
          <w:p>
            <w:pPr>
              <w:spacing w:after="0" w:line="20" w:lineRule="exact"/>
              <w:rPr>
                <w:sz w:val="1"/>
                <w:szCs w:val="1"/>
                <w:color w:val="auto"/>
              </w:rPr>
            </w:pPr>
          </w:p>
        </w:tc>
        <w:tc>
          <w:tcPr>
            <w:tcW w:w="1320" w:type="dxa"/>
            <w:vAlign w:val="bottom"/>
            <w:tcBorders>
              <w:bottom w:val="single" w:sz="8" w:color="0000FF"/>
            </w:tcBorders>
            <w:gridSpan w:val="4"/>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140" w:type="dxa"/>
            <w:vAlign w:val="bottom"/>
            <w:tcBorders>
              <w:bottom w:val="single" w:sz="8" w:color="0000FF"/>
            </w:tcBorders>
            <w:gridSpan w:val="3"/>
          </w:tcPr>
          <w:p>
            <w:pPr>
              <w:spacing w:after="0" w:line="20" w:lineRule="exact"/>
              <w:rPr>
                <w:sz w:val="1"/>
                <w:szCs w:val="1"/>
                <w:color w:val="auto"/>
              </w:rPr>
            </w:pPr>
          </w:p>
        </w:tc>
        <w:tc>
          <w:tcPr>
            <w:tcW w:w="520" w:type="dxa"/>
            <w:vAlign w:val="bottom"/>
            <w:tcBorders>
              <w:bottom w:val="single" w:sz="8" w:color="0000FF"/>
            </w:tcBorders>
            <w:gridSpan w:val="6"/>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480" w:type="dxa"/>
            <w:vAlign w:val="bottom"/>
            <w:gridSpan w:val="5"/>
          </w:tcPr>
          <w:p>
            <w:pPr>
              <w:spacing w:after="0"/>
              <w:rPr>
                <w:sz w:val="18"/>
                <w:szCs w:val="18"/>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20" w:type="dxa"/>
            <w:vAlign w:val="bottom"/>
            <w:gridSpan w:val="12"/>
            <w:vMerge w:val="restart"/>
          </w:tcPr>
          <w:p>
            <w:pPr>
              <w:jc w:val="center"/>
              <w:ind w:right="3300"/>
              <w:spacing w:after="0"/>
              <w:rPr>
                <w:sz w:val="20"/>
                <w:szCs w:val="20"/>
                <w:color w:val="auto"/>
              </w:rPr>
            </w:pPr>
            <w:r>
              <w:rPr>
                <w:rFonts w:ascii="Times New Roman" w:cs="Times New Roman" w:eastAsia="Times New Roman" w:hAnsi="Times New Roman"/>
                <w:sz w:val="18"/>
                <w:szCs w:val="18"/>
                <w:color w:val="0000FF"/>
                <w:w w:val="98"/>
              </w:rPr>
              <w:t>Part IV</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gridSpan w:val="1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15.</w:t>
            </w:r>
          </w:p>
        </w:tc>
        <w:tc>
          <w:tcPr>
            <w:tcW w:w="460" w:type="dxa"/>
            <w:vAlign w:val="bottom"/>
            <w:gridSpan w:val="4"/>
          </w:tcPr>
          <w:p>
            <w:pPr>
              <w:spacing w:after="0"/>
              <w:rPr>
                <w:sz w:val="19"/>
                <w:szCs w:val="19"/>
                <w:color w:val="auto"/>
              </w:rPr>
            </w:pPr>
          </w:p>
        </w:tc>
        <w:tc>
          <w:tcPr>
            <w:tcW w:w="42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520" w:type="dxa"/>
            <w:vAlign w:val="bottom"/>
            <w:tcBorders>
              <w:top w:val="single" w:sz="8" w:color="0000FF"/>
              <w:bottom w:val="single" w:sz="8" w:color="0000FF"/>
            </w:tcBorders>
            <w:gridSpan w:val="6"/>
          </w:tcPr>
          <w:p>
            <w:pPr>
              <w:spacing w:after="0"/>
              <w:rPr>
                <w:sz w:val="19"/>
                <w:szCs w:val="19"/>
                <w:color w:val="auto"/>
              </w:rPr>
            </w:pPr>
          </w:p>
        </w:tc>
        <w:tc>
          <w:tcPr>
            <w:tcW w:w="33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gridSpan w:val="9"/>
          </w:tcPr>
          <w:p>
            <w:pPr>
              <w:spacing w:after="0" w:line="20" w:lineRule="exact"/>
              <w:rPr>
                <w:sz w:val="1"/>
                <w:szCs w:val="1"/>
                <w:color w:val="auto"/>
              </w:rPr>
            </w:pPr>
          </w:p>
        </w:tc>
        <w:tc>
          <w:tcPr>
            <w:tcW w:w="1540" w:type="dxa"/>
            <w:vAlign w:val="bottom"/>
            <w:tcBorders>
              <w:bottom w:val="single" w:sz="8" w:color="0000FF"/>
            </w:tcBorders>
            <w:gridSpan w:val="6"/>
          </w:tcPr>
          <w:p>
            <w:pPr>
              <w:spacing w:after="0" w:line="20" w:lineRule="exact"/>
              <w:rPr>
                <w:sz w:val="1"/>
                <w:szCs w:val="1"/>
                <w:color w:val="auto"/>
              </w:rPr>
            </w:pPr>
          </w:p>
        </w:tc>
        <w:tc>
          <w:tcPr>
            <w:tcW w:w="1540" w:type="dxa"/>
            <w:vAlign w:val="bottom"/>
            <w:tcBorders>
              <w:bottom w:val="single" w:sz="8" w:color="0000FF"/>
            </w:tcBorders>
            <w:gridSpan w:val="5"/>
          </w:tcPr>
          <w:p>
            <w:pPr>
              <w:spacing w:after="0" w:line="20" w:lineRule="exact"/>
              <w:rPr>
                <w:sz w:val="1"/>
                <w:szCs w:val="1"/>
                <w:color w:val="auto"/>
              </w:rPr>
            </w:pPr>
          </w:p>
        </w:tc>
        <w:tc>
          <w:tcPr>
            <w:tcW w:w="49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16.</w:t>
            </w:r>
          </w:p>
        </w:tc>
        <w:tc>
          <w:tcPr>
            <w:tcW w:w="460" w:type="dxa"/>
            <w:vAlign w:val="bottom"/>
            <w:gridSpan w:val="4"/>
          </w:tcPr>
          <w:p>
            <w:pPr>
              <w:spacing w:after="0"/>
              <w:rPr>
                <w:sz w:val="18"/>
                <w:szCs w:val="18"/>
                <w:color w:val="auto"/>
              </w:rPr>
            </w:pPr>
          </w:p>
        </w:tc>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34290</wp:posOffset>
            </wp:positionV>
            <wp:extent cx="694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36</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87</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87</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88</w:t>
      </w:r>
    </w:p>
    <w:p>
      <w:pPr>
        <w:spacing w:after="0" w:line="9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89</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102</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0000FF"/>
        </w:rPr>
        <w:t>102</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0000FF"/>
        </w:rPr>
        <w:t>102</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0000FF"/>
        </w:rPr>
        <w:t>102</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0000FF"/>
        </w:rPr>
        <w:t>103</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0000FF"/>
        </w:rPr>
        <w:t>103</w:t>
      </w:r>
    </w:p>
    <w:p>
      <w:pPr>
        <w:spacing w:after="0" w:line="3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0000FF"/>
        </w:rPr>
        <w:t>104</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0000FF"/>
        </w:rPr>
        <w:t>104</w:t>
      </w:r>
    </w:p>
    <w:p>
      <w:pPr>
        <w:spacing w:after="0" w:line="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0000FF"/>
        </w:rPr>
        <w:t>104</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0000FF"/>
        </w:rPr>
        <w:t>104</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0000FF"/>
        </w:rPr>
        <w:t>104</w:t>
      </w:r>
    </w:p>
    <w:p>
      <w:pPr>
        <w:spacing w:after="0" w:line="3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0000FF"/>
        </w:rPr>
        <w:t>105</w:t>
      </w:r>
    </w:p>
    <w:p>
      <w:pPr>
        <w:spacing w:after="0" w:line="7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110</w:t>
      </w:r>
    </w:p>
    <w:p>
      <w:pPr>
        <w:spacing w:after="0" w:line="200" w:lineRule="exact"/>
        <w:rPr>
          <w:sz w:val="20"/>
          <w:szCs w:val="20"/>
          <w:color w:val="auto"/>
        </w:rPr>
      </w:pPr>
    </w:p>
    <w:p>
      <w:pPr>
        <w:spacing w:after="0" w:line="3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u w:val="single" w:color="auto"/>
          <w:color w:val="0000FF"/>
        </w:rPr>
        <w:t>F-1</w:t>
      </w:r>
    </w:p>
    <w:p>
      <w:pPr>
        <w:spacing w:after="0" w:line="216" w:lineRule="exact"/>
        <w:rPr>
          <w:sz w:val="20"/>
          <w:szCs w:val="20"/>
          <w:color w:val="auto"/>
        </w:rPr>
      </w:pPr>
    </w:p>
    <w:p>
      <w:pPr>
        <w:sectPr>
          <w:pgSz w:w="11900" w:h="16838" w:orient="portrait"/>
          <w:cols w:equalWidth="0" w:num="2">
            <w:col w:w="9780" w:space="720"/>
            <w:col w:w="740"/>
          </w:cols>
          <w:pgMar w:left="320" w:top="337" w:right="339" w:bottom="1440" w:gutter="0" w:footer="0" w:header="0"/>
        </w:sectPr>
      </w:pPr>
    </w:p>
    <w:p>
      <w:pPr>
        <w:spacing w:after="0" w:line="22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the "Company," "we," "our," or "us" in this report refer to Ocugen, Inc. and its subsidiaries, and references to "OpCo" refer to Ocugen OpCo, Inc., the Company's wholly owned subsidiary.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and the documents incorporated by reference herein contain forward-looking statements that involve substantial risks and uncertainties. All statements, other than statements of historical facts contained in this Annual Report or the documents incorporated by reference herein, regarding our strategy, future operations, future financial position, future revenues, projected costs,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"estimate," "expect," "intend," "may," "plan," "predict," "project," "will," "would,"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forward-looking statements in this Annual Report and the documents incorporated herein by reference include, among other things, statements about:</w:t>
      </w:r>
    </w:p>
    <w:p>
      <w:pPr>
        <w:spacing w:after="0" w:line="117"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capital requirements, as well as the timing, availability of, and the need for, additional financing to continue to advance our product candidates;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with respect to OCU400, OCU410 and OCU410ST, including our ability to continue our Phase 3 trial for OCU400 for the treatment of retinitis pigmentosa ("RP"), our ability to continue dosing patients for our Phase 2/3 pivotal confirmatory trial for OCU410ST for the treatment of Stargardt disease (“ST”), and our ability to complete pivotal trials;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OCU400, OCU410 and OCU410ST, if approved;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from government agencies in the United States and/or other countries to continue the development of our inhaled mucosal vaccine platform;</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associated with the clinical development and regulatory approval of our product candidates including potential delays in the initiation, enrollment, and completion of current and future clinical trials;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our product candidates and preclinical programs being developed and anticipated to be developed, in light of inherent risks and difficulties involved in successfully commercializing products and the risk that our products, if approved, may not achieve broad market acceptance;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schemes and other regulatory developments applicable to our business in the United States and other countries;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third-parties upon which we depend, including contract development and manufacturing organizations ("CMDOs"), suppliers, manufacturers, group purchasing organizations, distributors, and logistics providers;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commercialized;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or obtain licenses to intellectual property and defend our intellectual property rights against third-parties;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and contracts with our key collaborators and commercial partners and our ability to establish additional collaborations and partnerships;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and expectations regarding cash, cash reserves and expense levels, future revenues, capital requirements and needs for additional financing, including our expected use of proceeds from our public offerings, and liquidity sources;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stringent United States and applicable foreign government regulations with respect to the manufacturing of pharmaceutical products, including compliance with current Good Manufacturing Practice ("GMP") regulations, and other relevant regulatory authorities;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health epidemics and other outbreaks of communicable diseases, geopolitical turmoil, macroeconomic conditions, tariff policies, social unrest, political instability, terrorism, or acts of war could disrupt our business and operations, including impacts on our development programs, global supply chain, and collaborators and manufacturers.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particularly under "Risk Factors," that we believe could cause actual results or events to differ materially from the forward-looking statements that we make. Our forward-looking statements do not reflect the potential impact of any future acquisitions, mergers, dispositions, joint ventures, collaborations, investments, or other significant transactions we may make.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incorporate by reference herein and have filed as exhibits to this Annual Report, completely and with the understanding that our actual future results may be materially different from what we expect. We do not assume any obligation to update any forward-looking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 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Solely for convenience, tradenames and trademarks referred to in this Annual Report appear without the ® or ™ symbols, but those references are not intended to indicate, in any way, that we will not assert, to the fullest extent under applicable law, our rights or that the applicable owner will not assert its rights, to these tradenames or trademarks, as applicable. All tradenames, trademarks, and service marks included or incorporated by reference in this Annual Report are the property of their respective owners. The name NeoCart (defined below) has not been evaluated or cleared by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2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Ocugen is aiming to redefine the future of vision through game-changing gene therapies with the potential to address significant, unmet medical needs. Our First-in-class, breakthrough modifier gene therapy platform presents a potential paradigm shift in treating inherited retinal diseases and blindness diseases affecting millions across the globe.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technology pipeline includes: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Novel Modifier Gene Therapy Platform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OCU400</w:t>
      </w:r>
      <w:r>
        <w:rPr>
          <w:rFonts w:ascii="Times New Roman" w:cs="Times New Roman" w:eastAsia="Times New Roman" w:hAnsi="Times New Roman"/>
          <w:sz w:val="18"/>
          <w:szCs w:val="18"/>
          <w:color w:val="auto"/>
        </w:rPr>
        <w:t>- Based on the use of nuclear hormone receptors ("NHRs"), we believe our novel modifier gene therapy platform has the potential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major blindness diseases, including rare genetic diseases such as RP (OCU400), with a gene-agnostic approach. OCU400 is intended for early to advanced cases of RP including clinical and/or genetic diagnosis with both syndromic and non-syndromic forms of the disease. In January 2025, we announced positive two-year data for multiple mutations from the Phase 1/2 clinical trial for OCU400. In February 2025, we announced that the European Commission ("EC") has provided a positive opinion from the European Medicines Agency's ("EMA") Committee for Advanced Therapies for OCU400 Advanced Therapy Medicinal Product ("ATMP") classification.</w:t>
      </w:r>
    </w:p>
    <w:p>
      <w:pPr>
        <w:spacing w:after="0" w:line="209" w:lineRule="exact"/>
        <w:rPr>
          <w:rFonts w:ascii="Times New Roman" w:cs="Times New Roman" w:eastAsia="Times New Roman" w:hAnsi="Times New Roman"/>
          <w:sz w:val="18"/>
          <w:szCs w:val="18"/>
          <w:color w:val="auto"/>
        </w:rPr>
      </w:pPr>
    </w:p>
    <w:p>
      <w:pPr>
        <w:jc w:val="both"/>
        <w:ind w:left="66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enrollment in the Phase 3 liMeliGhT clinical trial for OCU400. Positive long-term, 3-year Phase 1/2 durable, safety and tolerability data for OCU400 demonstrate sustained clinically meaningful, approximately 2-line luminance visual acuity ("LLVA") gain, reinforcing durable gene-agnostic benefits. Positive long-term, 3-year Phase 1/2 data for OCU400 were recently assessed in evaluable subjects and builds on prior 2-year results showing consistent clinically meaningful, approximately 2-line LLVA gain across mutations. OCU400 maintained a favorable durability, safety and tolerability profile with no new treatment-related serious adverse events or adverse events of interest emerged.</w:t>
      </w:r>
    </w:p>
    <w:p>
      <w:pPr>
        <w:spacing w:after="0" w:line="19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data include:</w:t>
      </w:r>
    </w:p>
    <w:p>
      <w:pPr>
        <w:spacing w:after="0" w:line="15" w:lineRule="exact"/>
        <w:rPr>
          <w:rFonts w:ascii="Times New Roman" w:cs="Times New Roman" w:eastAsia="Times New Roman" w:hAnsi="Times New Roman"/>
          <w:sz w:val="18"/>
          <w:szCs w:val="18"/>
          <w:color w:val="auto"/>
        </w:rPr>
      </w:pPr>
    </w:p>
    <w:p>
      <w:pPr>
        <w:ind w:left="1300" w:hanging="320"/>
        <w:spacing w:after="0" w:line="234" w:lineRule="auto"/>
        <w:tabs>
          <w:tab w:leader="none" w:pos="12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Visual function benefits were consistently observed over 3 years, with 88% (7/8) of evaluable treated subjects showing improvement or preservation versus untreated fellow eyes.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2-line gain (N=8) observed across multiple mutation types in treated eyes compared to untreated eyes at 3 years.</w:t>
      </w:r>
    </w:p>
    <w:p>
      <w:pPr>
        <w:spacing w:after="0" w:line="21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We are on track to begin a rolling BLA submission in the third quarter of 2026. Topline Phase 3 data expected in the first quarter of 2027, advancing OCU400 towards potential approval in 2027 as a treatment option for early- to late-stage RP.</w:t>
      </w:r>
    </w:p>
    <w:p>
      <w:pPr>
        <w:spacing w:after="0" w:line="172" w:lineRule="exact"/>
        <w:rPr>
          <w:sz w:val="20"/>
          <w:szCs w:val="20"/>
          <w:color w:val="auto"/>
        </w:rPr>
      </w:pPr>
    </w:p>
    <w:p>
      <w:pPr>
        <w:jc w:val="both"/>
        <w:ind w:left="66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OCU410ST</w:t>
      </w:r>
      <w:r>
        <w:rPr>
          <w:rFonts w:ascii="Times New Roman" w:cs="Times New Roman" w:eastAsia="Times New Roman" w:hAnsi="Times New Roman"/>
          <w:sz w:val="18"/>
          <w:szCs w:val="18"/>
          <w:color w:val="auto"/>
        </w:rPr>
        <w:t>- We initiated dosing in GARDian3 pivotal confirmatory trial for OCU410ST for Stargardt disease ("ST") in July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OCU410ST Phase 2/3 pivotal confirmatory trial represents our second late-stage clinical program. We plan to submit a BLA for OCU410ST in the first half of 2027 in alignment with our strategic goal of filing three BLAs over the next three years. In November 2024, the EMA granted orphan medicinal product designation ("OMPD") for OCU410ST for the treatment of ABCA4-associated retinopathies (&gt;1200 mutations) including ST, RP 19, and CORD3. In May 2025, we announced that the FDA granted Rare Pediatric Disease Designation (RPDD) for OCU410ST for the treatment of ABCA4-associated retinopathies including ST, retinitis pigmentosa 19 ("RP19"), and cone-rod dystrophy 3 ("CORD3"). In June 2025, we announced that the FDA has cleared the Investigational New Drug ("IND") amendment to initiate a Phase 2/3 pivotal confirmatory trial of OCU410ST, a modifier gene therapy candidate being developed for all ST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-associated retinopathies). In August, 2025, we announced that the Committee for Medicinal Products for Human Use (CHMP) of EMA reviewed the study design, endpoints and planned statistical analysis of the ongoing pivotal confirmatory OCU410ST Phase 2/3 GARDian3 clinical trial for ST and provided acceptability of a single U.S.-based trial for submission of a Marketing Authorization Application ("MAA"). The Phase 2/3 GARDian3 trial is progressing as planned with anticipated enrollment completion in early 2026.</w:t>
      </w:r>
    </w:p>
    <w:p>
      <w:pPr>
        <w:spacing w:after="0" w:line="193" w:lineRule="exact"/>
        <w:rPr>
          <w:rFonts w:ascii="Times New Roman" w:cs="Times New Roman" w:eastAsia="Times New Roman" w:hAnsi="Times New Roman"/>
          <w:sz w:val="18"/>
          <w:szCs w:val="18"/>
          <w:color w:val="auto"/>
        </w:rPr>
      </w:pPr>
    </w:p>
    <w:p>
      <w:pPr>
        <w:ind w:left="660" w:right="2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January 2026, the Company announced publication of Phase 1 GARDian1 Trial results for OCU410ST. The study supports the favorable safety, tolerability and efficacy profile of OCU410ST and its potential to provide clinically meaningful functional and structural benefits in ST patients.</w:t>
      </w:r>
    </w:p>
    <w:p>
      <w:pPr>
        <w:spacing w:after="0" w:line="153" w:lineRule="exact"/>
        <w:rPr>
          <w:rFonts w:ascii="Times New Roman" w:cs="Times New Roman" w:eastAsia="Times New Roman" w:hAnsi="Times New Roman"/>
          <w:sz w:val="18"/>
          <w:szCs w:val="18"/>
          <w:color w:val="auto"/>
        </w:rPr>
      </w:pPr>
    </w:p>
    <w:p>
      <w:pPr>
        <w:jc w:val="both"/>
        <w:ind w:left="66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OCU410ST Phase 1 clinical trial demonstrates that atrophic lesions grew slower by 54% at 12 months for evaluable treated subjects when compared to untreated fellow eyes. In the secondary endpoint- Best Corrected Visual Acuity (BCVA), treated eyes showed an improvement with 1-line (6 ETDRS Letter) gain in the visual acuity when compared to untreated fellow eyes. Additionally, 100% of evaluable treated eyes demonstrated stabilization or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improvement vs. untreated eyes in visual function. In evaluable subjects (N=6) ellipsoid zone (EZ) loss rate was 116% slower in OCU410ST-treated eyes compared to untreated fellow eyes at 12 months, demonstrating preservation or stabilization in photoreceptor integrity. The untreated eyes showed expected decline in atrophy.</w:t>
      </w:r>
    </w:p>
    <w:p>
      <w:pPr>
        <w:spacing w:after="0" w:line="186" w:lineRule="exact"/>
        <w:rPr>
          <w:sz w:val="20"/>
          <w:szCs w:val="20"/>
          <w:color w:val="auto"/>
        </w:rPr>
      </w:pPr>
    </w:p>
    <w:p>
      <w:pPr>
        <w:jc w:val="both"/>
        <w:ind w:left="660" w:hanging="328"/>
        <w:spacing w:after="0" w:line="259" w:lineRule="auto"/>
        <w:tabs>
          <w:tab w:leader="none" w:pos="65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OCU410</w:t>
      </w:r>
      <w:r>
        <w:rPr>
          <w:rFonts w:ascii="Times New Roman" w:cs="Times New Roman" w:eastAsia="Times New Roman" w:hAnsi="Times New Roman"/>
          <w:sz w:val="18"/>
          <w:szCs w:val="18"/>
          <w:color w:val="auto"/>
        </w:rPr>
        <w:t>- We completed dosing in Phase 2 of the Phase 1/2 ArMaDa clinical trial for OCU410 for the treatment of geographic atrophy ("GA"),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form of dAMD. Positive preliminary efficacy and safety data from the Phase 1 dose-escalation portion of the OCU410 Phase 1/2 ArMaDa clinical trial included: no drug-related serious adverse events ("SAEs"),reduced lesion growth, preservation of retinal tissue, and—most importantly—there was a positive effect on the functional visual measure of low LLVA. In March 2025, OCU410 and OCU410ST received ATMP classification from the EMA.</w:t>
      </w:r>
    </w:p>
    <w:p>
      <w:pPr>
        <w:spacing w:after="0" w:line="196" w:lineRule="exact"/>
        <w:rPr>
          <w:rFonts w:ascii="Times New Roman" w:cs="Times New Roman" w:eastAsia="Times New Roman" w:hAnsi="Times New Roman"/>
          <w:sz w:val="18"/>
          <w:szCs w:val="18"/>
          <w:b w:val="1"/>
          <w:bCs w:val="1"/>
          <w:color w:val="auto"/>
        </w:rPr>
      </w:pPr>
    </w:p>
    <w:p>
      <w:pPr>
        <w:jc w:val="both"/>
        <w:ind w:left="660"/>
        <w:spacing w:after="0" w:line="23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shared encouraging 12-month Phase 1 and 2 ArMaDa results for OCU410 in January 2026, including a 20.2% relative reduction in GA lesion from baseline as an early efficacy signal for slowing GA progression in Phase 1 subjects. Interim first time Phase 2 data (covering ~50% of subjects) demonstrated 46% reduction in lesion growth in treatment group (combined high and medium doses) compared to control in 12 month follow up analysis. In a subgroup of patients (N=14, subjects with ≥7.5 mm2 at baseline) showed 57% greater reduction in lesion size compared to control (across doses). No OCU410-related serious adverse events or adverse events of special interest were reported across the Phase 1 and Phase 2 clinical trials. In evaluable subjects (N=7) ellipsoid zone (EZ) loss was 60% slower in OCU410-treated eyes compared to untreated fellow eyes at 12 months, EZ-RPE complex loss was reduced in treated eyes versus fellow eyes, demonstrating photoreceptor + RPE preservation. In addition, OCU410 treatment demonstrated a 20.2% reduction in sqrt geographic atrophy lesion growth at 12 months compared to untreated fellow eyes.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OCU410 and OCU410ST are being developed utilizing the RORA (RAR Related Orphan Receptor A) gene for the treatment of GA secondary to dAMD and ST, respectively. OCU410is a potential one-time, curative therapy with a single sub-retinal injection that targets multiple pathways associated with AMD pathogenesis, in contrast to products currently approved or under development that treat only one cause of GA, require multiple injections per year, and have safety considerations. OCU410ST has received ODD from the FDA and OMPD from the EMA for the treatment of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-associated retinopathies (&gt;1200 mutations) including ST, RP19, and cone-rod dystrophy 3 (CORD3), and has the potential to be the first approved therapy to treat ST.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OCU410ST/OCU410 utilizes a first-in-class modifier gene therapy approach by delivering the human RORA gene to diseased retinal tissue via subretinal AAV5 delivery. RORA modulates lipid metabolism, oxidative stress, and inflammation key drivers of retinal degeneration that restores retinal homeostasis by offering a unique four-way disease-modifying potential.</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Currently, there is significant economic burden of vision loss diseases in the US. ST and GA are major contributors to vision loss. OCU410 has the potential to reduce treatment costs, prevent vision-related disability, and ease the broader healthcare and societal burden driven by structural and functional vision loss.</w:t>
      </w:r>
    </w:p>
    <w:p>
      <w:pPr>
        <w:spacing w:after="0" w:line="21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February 2025, we announced that alignment has been reached with the FDA to move forward with a Phase 2/3 pivotal confirmatory clinical trial for OCU410ST which can be the basis of a BLA submission. The GARDian3 Phase 2/3 clinical trial will randomize 51 subjects, 34 of whom will receive a single, subretinal, 200-μL injection of OCU410ST at a concentration of 1.5x10</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vector genomes(vg)/mL in the eye with worse visual acuity, and 17 of whom will serve as untreated controls. The primary endpoint in the clinical trial is change in atrophic lesion size. Secondary endpoints include visual acuity as measured by best corrected visual acuity and LLVA compared to untreated controls. One-year data will be utilized for the BLA filing. The Phase 2/3 pivotal confirmatory trial has adaptive design with sample size re-estimation. When 24 subjects in the study (16 in treatment group and 8 in control group) complete their 8-month clinical assessments, a masked interim analysis is planned. OCU410ST is intended for early to advanced cases of ST. The masked interim analysis for the OCU410ST Phase 2/3 GARDian3 trial in Stargardt disease is on track as planned for mid-2026 for 24 subjects (16 treated, 8 controls).</w:t>
      </w:r>
    </w:p>
    <w:p>
      <w:pPr>
        <w:spacing w:after="0" w:line="2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latest data from the OCU410ST Phase 1 clinical trial demonstrates that atrophic lesions grew slower by 54% at 12 months for evaluable treated subjects when compared to untreated fellow eyes. In the secondary endpoint- Best Corrected Visual Acuity (BCVA), treated eyes showed an improvement with 1-line (6ETDRS Letter) gain in the visual acuity when compared to untreated fellow eyes. Additionally, 100% of evaluable treated eyes demonstrated stabilization or improvement vs. untreated eyes in visual function. The Phase 2/3 GARDian3 trial is progressing ahead of schedule with anticipated enrollment completion in the first quarter of 2026, targeting the BLA filing in the first half of 2027.</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the Company announced publication of Phase I GARDian1 Trial results for OCU410ST reporting comprehensive 12-month safety, tolerability, and exploratory efficacy data from the first-in-human Phase 1 trial evaluating OCU410ST in patients with early to advanced ST. The Phase 1 GARDian1 trial at 12 months demonstrated robust efficacy and safety outcomes supporting the clinical development of OCU410ST including no drug-related serious adverse events (SAEs). In evaluable subjects (N=6) ellipsoid zone (EZ) loss rate was 116% slower in OCU410ST-treated eyes compared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untreated fellow eyes at 12 months, demonstrating preservation or stabilization in photoreceptor integrity. The untreated eyes showed expected decline in atrophy.</w:t>
      </w:r>
    </w:p>
    <w:p>
      <w:pPr>
        <w:spacing w:after="0" w:line="17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Positive preliminary efficacy and safety data from the OCU410 Phase 2 ArMaDa clinical trial at 12 months demonstrated no drug-related serious adverse events (SAEs). In evaluable subjects in Phase 1 ArMaDa clinical trial (N=7) ellipsoid zone (EZ) loss was 60% slower in OCU410-treated eyes compared to untreated fellow eyes at 12 months, EZ-RPE complex loss was reduced in treated eyes versus fellow eyes, demonstrating photoreceptor + RPE preservation. In addition, OCU410 treatment demonstrated a 20.2% reduction in geographic atrophy lesion growth at 12 months compared to untreated fellow eyes. Positive preliminary efficacy and safety data from the OCU410 Phase 2 ArMaDa clinical trial at 12 months demonstrated no drug-related serious adverse events (SAEs), 46% lesion growth reduction (medium + high dose vs. control; p=0.015; N=23) at 12 months, medium dose achieved 54% lesion reduction (p=0.02; N=10) vs. high dose 36% (p=0.05; N=8) compared to control, 50% responder rate with patients achieving &gt;50% lesion size reduction vs. control, and a subgroup of patients (N=14, subjects with ≥7.5 mm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at baseline) showed 57% greater reduction in lesion size compared to control (across doses).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Programs —</w:t>
      </w:r>
    </w:p>
    <w:p>
      <w:pPr>
        <w:spacing w:after="0" w:line="279" w:lineRule="exact"/>
        <w:rPr>
          <w:sz w:val="20"/>
          <w:szCs w:val="20"/>
          <w:color w:val="auto"/>
        </w:rPr>
      </w:pPr>
    </w:p>
    <w:p>
      <w:pPr>
        <w:jc w:val="both"/>
        <w:ind w:left="660" w:hanging="328"/>
        <w:spacing w:after="0" w:line="230" w:lineRule="auto"/>
        <w:tabs>
          <w:tab w:leader="none" w:pos="655"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Novel Biologic Therapy for Retinal Diseases </w:t>
      </w:r>
      <w:r>
        <w:rPr>
          <w:rFonts w:ascii="Times New Roman" w:cs="Times New Roman" w:eastAsia="Times New Roman" w:hAnsi="Times New Roman"/>
          <w:sz w:val="18"/>
          <w:szCs w:val="18"/>
          <w:color w:val="auto"/>
        </w:rPr>
        <w:t>— OCU200 is a novel recombinant fusion protein consisting of two human proteins, tumstatin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transferrin. OCU200 possesses unique features which potentially enable it to treat vascular complications of diabetic macular edema ("DME"), diabetic retinopathy ("DR"), and wet age-related macular degeneration ("AMD"). Tumstatin is the active component of OCU200 and binds to integrin receptors, which play a crucial role in disease pathogenesis. Transferrin is expected to facilitate the targeted delivery of tumstatin into the retina and choroid and potentially help increase the interaction between tumstatin and integrin receptors. The first subject was dosed in the OCU200 multicenter open label Phase 1 clinical trial in January 2025 and enrollment is expected to be completed during the first quarter of 2026.</w:t>
      </w:r>
    </w:p>
    <w:p>
      <w:pPr>
        <w:spacing w:after="0" w:line="88" w:lineRule="exact"/>
        <w:rPr>
          <w:rFonts w:ascii="Times New Roman" w:cs="Times New Roman" w:eastAsia="Times New Roman" w:hAnsi="Times New Roman"/>
          <w:sz w:val="22"/>
          <w:szCs w:val="22"/>
          <w:b w:val="1"/>
          <w:bCs w:val="1"/>
          <w:color w:val="auto"/>
        </w:rPr>
      </w:pPr>
    </w:p>
    <w:p>
      <w:pPr>
        <w:jc w:val="both"/>
        <w:ind w:left="660" w:hanging="328"/>
        <w:spacing w:after="0" w:line="257" w:lineRule="auto"/>
        <w:tabs>
          <w:tab w:leader="none" w:pos="65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Regenerative Medicine Cell Therapy Platform </w:t>
      </w:r>
      <w:r>
        <w:rPr>
          <w:rFonts w:ascii="Times New Roman" w:cs="Times New Roman" w:eastAsia="Times New Roman" w:hAnsi="Times New Roman"/>
          <w:sz w:val="18"/>
          <w:szCs w:val="18"/>
          <w:color w:val="auto"/>
        </w:rPr>
        <w:t>— Our Phase 3-ready regenerative cell therapy platform technology, which includes NeoCart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(autologous chondrocyte-derived neocartilage), is being developed for the repair of knee cartilage injuries in adults. We received concurrence from the FDA on the confirmatory Phase 3 trial design and have completed renovating an existing facility into a current GMP facility to support clinical study and initial commercial launch. This facility is needed to generate patient-specific NeoCart implant from chondrocytes derived from knee biopsy. During 2025, we transferred the assets related to our NeoCart product candidate to OrthoCellix, Inc., a Delaware corporation and wholly-owned subsidiary of Ocugen, Inc. ("OrthoCellix").</w:t>
      </w:r>
    </w:p>
    <w:p>
      <w:pPr>
        <w:spacing w:after="0" w:line="74"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Inhaled Mucosal Vaccine Platform </w:t>
      </w:r>
      <w:r>
        <w:rPr>
          <w:rFonts w:ascii="Times New Roman" w:cs="Times New Roman" w:eastAsia="Times New Roman" w:hAnsi="Times New Roman"/>
          <w:sz w:val="18"/>
          <w:szCs w:val="18"/>
          <w:color w:val="auto"/>
        </w:rPr>
        <w:t>— Our next-generation, inhaled mucosal vaccine platform includes OCU500, a COVID-19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OCU510, a seasonal quadrivalent flu vaccine; and OCU520, a combination quadrivalent seasonal flu and COVID-19 vaccine. We have completed IND-enabling studies and GMP manufacturing of clinical trial material for OCU500. In January 2025, we announced that the Investigational New Drug ("IND") application is in effect, and the National Institute of Allergy and Infectious Diseases ("NIAID"), part of the National Institutes of Health ("NIH") intends to initiate a Phase 1 clinical trial for OCU500. The NIAID intends to initiate a Phase 1 clinical trial in the second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late stage biotechnology company addressing major blindness diseases with our novel modifier gene therapy and are dedicated to bringing these potential game-changing therapies to market and provide access to patients globally. Key elements of the strategy we employ to accomplish this mission include</w:t>
      </w:r>
    </w:p>
    <w:p>
      <w:pPr>
        <w:spacing w:after="0" w:line="32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Continuing to advance our modifier gene therapy platform through clinical development.</w:t>
      </w:r>
    </w:p>
    <w:p>
      <w:pPr>
        <w:spacing w:after="0" w:line="242" w:lineRule="exact"/>
        <w:rPr>
          <w:rFonts w:ascii="Times New Roman" w:cs="Times New Roman" w:eastAsia="Times New Roman" w:hAnsi="Times New Roman"/>
          <w:sz w:val="18"/>
          <w:szCs w:val="18"/>
          <w:b w:val="1"/>
          <w:bCs w:val="1"/>
          <w:i w:val="1"/>
          <w:iCs w:val="1"/>
          <w:color w:val="auto"/>
        </w:rPr>
      </w:pPr>
    </w:p>
    <w:p>
      <w:pPr>
        <w:jc w:val="both"/>
        <w:ind w:left="660"/>
        <w:spacing w:after="0" w:line="23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developing our modifier early-to-advanced gene therapy platform, inclusive of OCU400, OCU410, and OCU410ST, for the treatment of multiple IRDs, including RP, ST and multifactorial diseases such as GA, the advanced form of dAMD. We completed enrollment of 140 subjects in the Phase 3 liMeliGhT clinical trial for OCU400 for the treatment of RP. Both OCU410 and OCU410ST studies have completed the low, medium, and high dose cohorts in the Phase 1 with OCU410 completing dosing in the Phase 2 part of the Phase 1/2 trials. OCU410ST received FDA clearance in June 2025 to initiate a Phase 2/3 pivotal confirmatory trial and enrollment is expected to be completed in the first quarter of 2026 and interim analysis is planned for mid-2026.</w:t>
      </w:r>
    </w:p>
    <w:p>
      <w:pPr>
        <w:spacing w:after="0" w:line="330"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Expanding and exploring partnerships with current and future key collaborators and commercial partners to maximize patient access, global reach, and the value of our product candidates.</w:t>
      </w:r>
    </w:p>
    <w:p>
      <w:pPr>
        <w:spacing w:after="0" w:line="50"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intend to explore strategic licensing, acquisition, and collaboration opportunities with qualified partners to maximize the potential benefit of our product candidates for patients globally and to expand our product candidate pipeline to support our future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competitive strengths include:</w:t>
      </w:r>
    </w:p>
    <w:p>
      <w:pPr>
        <w:spacing w:after="0" w:line="23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Platform Gene Therapy Technology.</w:t>
      </w:r>
    </w:p>
    <w:p>
      <w:pPr>
        <w:spacing w:after="0" w:line="242" w:lineRule="exact"/>
        <w:rPr>
          <w:rFonts w:ascii="Times New Roman" w:cs="Times New Roman" w:eastAsia="Times New Roman" w:hAnsi="Times New Roman"/>
          <w:sz w:val="18"/>
          <w:szCs w:val="18"/>
          <w:b w:val="1"/>
          <w:bCs w:val="1"/>
          <w:i w:val="1"/>
          <w:iCs w:val="1"/>
          <w:color w:val="auto"/>
        </w:rPr>
      </w:pPr>
    </w:p>
    <w:p>
      <w:pPr>
        <w:jc w:val="both"/>
        <w:ind w:left="1300" w:hanging="320"/>
        <w:spacing w:after="0" w:line="227" w:lineRule="auto"/>
        <w:tabs>
          <w:tab w:leader="none" w:pos="1296" w:val="left"/>
        </w:tabs>
        <w:numPr>
          <w:ilvl w:val="1"/>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cutting-edge modifier gene therapy platform provides a competitive advantage compared to traditional approaches for gene therapy, such as gene augmentation, replacement or editing. This platform technology utilizes nuclear hormone receptor (NHR) genes, transcription factors, which promotes homeostasis – a balanced physiological state within cells. Our OCU400 modifier gene therapy product candidate can address &gt;100 gene mutations associated with retinitis pigmentosa (RP) disease. In contrast, the traditional approach generally can address only one gene mutation at a time with single product. Our OCU410 modifier gene therapy product candidate has potential to treat both genetic (e.g. ST) as well as complex multifactorial disease (e.g., advanced form of age-related macular degeneration (AMD), or Geographic Atrophy). These are potential one-time therapies and have the potential to treat large patient populations for life.</w:t>
      </w:r>
    </w:p>
    <w:p>
      <w:pPr>
        <w:spacing w:after="0" w:line="21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Platform Technologies in Development</w:t>
      </w:r>
    </w:p>
    <w:p>
      <w:pPr>
        <w:spacing w:after="0" w:line="229" w:lineRule="exact"/>
        <w:rPr>
          <w:rFonts w:ascii="Times New Roman" w:cs="Times New Roman" w:eastAsia="Times New Roman" w:hAnsi="Times New Roman"/>
          <w:sz w:val="18"/>
          <w:szCs w:val="18"/>
          <w:b w:val="1"/>
          <w:bCs w:val="1"/>
          <w:color w:val="auto"/>
        </w:rPr>
      </w:pPr>
    </w:p>
    <w:p>
      <w:pPr>
        <w:jc w:val="both"/>
        <w:ind w:left="1300" w:hanging="320"/>
        <w:spacing w:after="0" w:line="236" w:lineRule="auto"/>
        <w:tabs>
          <w:tab w:leader="none" w:pos="13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3D tissue engineering platform technology utilizes state-of-the-art bioreactor which can be used to produce native cartilage-like tissues for implantation. Our first product candidate based on this platform technology, NeoCart, is an autologous cartilage tissue– engineered implant designed for use in repair of articular cartilage injuries in the knee. In contrast to the approved cell-matrix based product, NeoCart showed rapid healing and durable benefit in clinical studies.</w:t>
      </w:r>
    </w:p>
    <w:p>
      <w:pPr>
        <w:spacing w:after="0" w:line="198" w:lineRule="exact"/>
        <w:rPr>
          <w:rFonts w:ascii="Times New Roman" w:cs="Times New Roman" w:eastAsia="Times New Roman" w:hAnsi="Times New Roman"/>
          <w:sz w:val="18"/>
          <w:szCs w:val="18"/>
          <w:color w:val="auto"/>
        </w:rPr>
      </w:pPr>
    </w:p>
    <w:p>
      <w:pPr>
        <w:jc w:val="both"/>
        <w:ind w:left="1300" w:hanging="320"/>
        <w:spacing w:after="0" w:line="236"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inhaled vaccine platform technology utilizes combination of ChAd vector technology and inhalation delivery technology, which can be utilized for vaccine development for various respiratory diseases. The OCU500 vaccine series is based on a novel ChAd platform designed to reduce transmission and protect against new variants with long-term durability. The inhaled method offers the potential for broad, durable protection from severe disease and reduction in transmission.</w:t>
      </w:r>
    </w:p>
    <w:p>
      <w:pPr>
        <w:spacing w:after="0" w:line="31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Experienced Management Team and Esteemed Scientific and Business Advisory Boards. </w:t>
      </w:r>
      <w:r>
        <w:rPr>
          <w:rFonts w:ascii="Times New Roman" w:cs="Times New Roman" w:eastAsia="Times New Roman" w:hAnsi="Times New Roman"/>
          <w:sz w:val="18"/>
          <w:szCs w:val="18"/>
          <w:color w:val="auto"/>
        </w:rPr>
        <w:t>Our management team and key advisors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experience with a proven track record of success in developing, launching, and managing the life cycle of biopharmaceuticals and vaccines at leading pharmaceutical and biotechnology companies. Our retina and vaccine scientific advisory boards are composed of leading academic and industry experts with extensive experience in the ocular and infectious disease fields. Our business advisory board members have been selected based on their extensive professional backgrounds and proven track record of creating partnerships among the public and private sector. We believe that the experience of our management team, our scientific advisory board members, business advisory board, and our broad network of relationships with leaders within the industry and the medical</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community provides us with insight into the identification of product candidate opportunities as well as supports us in advancing the development and commercialization of our product candidates.</w:t>
      </w:r>
    </w:p>
    <w:p>
      <w:pPr>
        <w:spacing w:after="0" w:line="50" w:lineRule="exact"/>
        <w:rPr>
          <w:sz w:val="20"/>
          <w:szCs w:val="20"/>
          <w:color w:val="auto"/>
        </w:rPr>
      </w:pPr>
    </w:p>
    <w:p>
      <w:pPr>
        <w:jc w:val="both"/>
        <w:ind w:left="660" w:hanging="328"/>
        <w:spacing w:after="0" w:line="255" w:lineRule="auto"/>
        <w:tabs>
          <w:tab w:leader="none" w:pos="65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Key Partnerships and Internal Capabilities. </w:t>
      </w:r>
      <w:r>
        <w:rPr>
          <w:rFonts w:ascii="Times New Roman" w:cs="Times New Roman" w:eastAsia="Times New Roman" w:hAnsi="Times New Roman"/>
          <w:sz w:val="18"/>
          <w:szCs w:val="18"/>
          <w:color w:val="auto"/>
        </w:rPr>
        <w:t>We have established a partnership with CanSino Biologics, Inc. ("CanSinoBIO") for our modifier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 therapy platform. CanSinoBIO has state-of-the-art facilities and proven expertise in the gene therapy field, which is critical to advancing our gene therapy product candidates into and through clinical trials as well as accelerating development timelines, reducing our associated costs, and increasing the reliability of our product candidate manufacturing. We have a state-of-the-art R&amp;D center to support innovation and development of our product pipeline through commercialization. Our renovated GMP facility is designed to support manufacturing of cell and gene therapy-based products for clinical development as well as commercial launch. Our R&amp;D, clinical, regulatory, quality and manufacturing teams consist of experienced, highly qualified researchers and industry professionals from top institutional and leading companies, which help drive pipeline development with greater efficiency.</w:t>
      </w:r>
    </w:p>
    <w:p>
      <w:pPr>
        <w:spacing w:after="0" w:line="76" w:lineRule="exact"/>
        <w:rPr>
          <w:rFonts w:ascii="Times New Roman" w:cs="Times New Roman" w:eastAsia="Times New Roman" w:hAnsi="Times New Roman"/>
          <w:sz w:val="18"/>
          <w:szCs w:val="18"/>
          <w:b w:val="1"/>
          <w:bCs w:val="1"/>
          <w:color w:val="auto"/>
        </w:rPr>
      </w:pPr>
    </w:p>
    <w:p>
      <w:pPr>
        <w:jc w:val="both"/>
        <w:ind w:left="660" w:hanging="328"/>
        <w:spacing w:after="0" w:line="25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 Designations. </w:t>
      </w:r>
      <w:r>
        <w:rPr>
          <w:rFonts w:ascii="Times New Roman" w:cs="Times New Roman" w:eastAsia="Times New Roman" w:hAnsi="Times New Roman"/>
          <w:sz w:val="18"/>
          <w:szCs w:val="18"/>
          <w:color w:val="auto"/>
        </w:rPr>
        <w:t>OCU400 has received ODD from the FDA for RP and LCA as well as been granted a RMAT designation from the FDA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for the treatment of RP associated with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mutations. OCU400 has also received OMPD from the EC, based on the recommendation of the EMA, for RP and LCA. These designations demonstrate the potential broad-spectrum application of OCU400, through its use of NHRs, to treat the more than 100 genes associated with RP and LCA with one product rather than developing individual treatments for each gene mutation. OCU410ST has received ODD from the FDA for the treatment of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 xml:space="preserve">-associated retinopathies, including ST. OCU410ST has also received OMPD from the EMA, for the treatment of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-associated retinopathies including Stargardt, RP19 and CORD3 diseases. NeoCart, our regenerative medicine cell therapy technology, was granted RMAT designation from the FDA for the repair of knee cartilage injuries in adults. The RMAT designation was created to expedite the development and review of regenerative medicine therapies intended to treat, modify, reverse, or cure a serious condition.</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Licensing and Development Arrangements and Intellectual Property Portfolio. </w:t>
      </w:r>
      <w:r>
        <w:rPr>
          <w:rFonts w:ascii="Times New Roman" w:cs="Times New Roman" w:eastAsia="Times New Roman" w:hAnsi="Times New Roman"/>
          <w:sz w:val="18"/>
          <w:szCs w:val="18"/>
          <w:color w:val="auto"/>
        </w:rPr>
        <w:t>We have licensing and development arrangements with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academic institutions, and medical institutions that cover our product candidates. These licensing and development arrangements include the licensing agreement with The Schepens Eye Research Institute, Inc. ("SERI"), an affiliate of Harvard Medical School, through which we acquired the technology used in our modifier gene therapy platform as well as access to technologies for other NHR genes, the license agreement (as amended, the "WU License Agreement") with Washington University in St. Louis ("Washington University") with respect to mucosal COVID-19 vaccines in the United States, Canada, Europe, Japan, South Korea, Australia, China, and Hong Kong (the "Mucosal Vaccine Territory"), and the license agreement with the University of Colorado ("CU") pursuant to which we acquired rights to the transferrin-tumstatin fusion protein technology used in our OCU200 product candidate. As of February 24, 2026, our global intellectual property portfolio contains 80 patents and 66 pending patent applications related to composition of matter, pharmaceutical compositions, methods of use for our product candidates, and other proprietary technology including those under our licensing and development arrangements. We will leverage these domestic and global partnerships and our intellectual property portfolio to advance our near- and long-term product pipeline opportunities.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NOVEL MODIFIER GENE THERAPY PLATFORM AND GENE THERAPY PRODUCT CANDIDATES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developing our modifier gene therapy platform, inclusive of OCU400, OCU410, and OCU410ST for the treatment of multiple IRDs, such as RP, ST and multifactorial diseases such as dAMD and GA. Our modifier gene therapy platform is a cutting-edge technology licensed from SERI, an affiliate of Harvard Medical School, and involves the targeted delivery and expression of one or more NHRs in the disease tissues and is designed to introduce a functional gene to modify the expression of multiple genes and gene-networks, which potentially enables it to address multiple retinal diseases with one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RP and Current Treatment Options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IRDs are caused by genetic mutations that are passed down within families and lead to progressive disease, severe visual impairment, and blindness. They are a diverse disease class with large phenotypic and genetic heterogeneity. IRDs are a common cause of irreversible blindness due to retinal cell degeneration. Treating these conditions has been a significant challenge due to the sheer volume of potential therapeutic gene targets. Gene replacement therapy is a promising approach to provide sustained restoration of normal retinal function for a mutated gene, but such therapies can only address one gene at a time, limiting their potential therapeutic use. Developing a custom gene therapy for each of the more than 100 mutated genes linked to RP would not only be expensive but also may not be possible due to size, class, or localization that will impact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delivery of the gene. Not all genes and disease expressions are amenable to gene therapy. For example, the genetic mutations of approximately 40% of RP patients remain unknown with few or no known therapeutic options available. Modifier gene therapy to ameliorate multiple forms of RP without requiring knowledge of the mutated gene, may provide a potentially robust and feasible treatment for RP.</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RP is the most common IRD involving photoreceptors and the retinal pigment epithelium ("RPE"). RP is a group of rare, genetic disorders that involve a breakdown and loss of cells in the retina. RP affects approximately 310,000 individuals in the United States, Europe, and Canada. In RP, progressive retinal degeneration starts in the mid-periphery and advances toward the macula and the fovea. The fovea is the part of the retina that is responsible for sharp central vision. Common symptoms of RP include difficulty seeing in poor lighting or in the dark, loss of central vision or side (peripheral) vision, and difficulty reading print and deciphering detailed images. RP is associated with over 100 mutated genes that affect about 1.6 million to 2 million individuals worldwide. RP is heterogeneous and varies greatly in age of onset, rate of progression, and even genetic etiology, yet all of the mutations lead to a common pathology of photoreceptor cell degeneration.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currently no approved treatment that slows or stops the progression of multiple forms of RP. Proposed treatments for RP include gene-replacement therapy, retinal implant devices, retinal transplantation, stem cells, vitamin therapy, and other pharmacological treatments. While gene-replacement therapies may provide a new functional gene, they do not necessarily eliminate the underlying genetic defect, which may still cause stress and toxic effects. Therefore, the development of gene specific replacement therapy is highly challenging, especially when multiple and unknown genes are involved.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OCU400 for IRDs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OCU400 is our first product candidate being developed with our modifier gene therapy platform. OCU400 has the potential to restore retinal integrity and function across a range of genetically diverse IRDs. OCU400 consists of a functional copy of the retina-specific NHR gene,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delivered to target cells in the retina using an AAV5 vector that has the potential to be used as a gene therapeutic not only for the treatment of retinal diseases associated with mutations in genes such as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PDE6ß</w:t>
      </w:r>
      <w:r>
        <w:rPr>
          <w:rFonts w:ascii="Times New Roman" w:cs="Times New Roman" w:eastAsia="Times New Roman" w:hAnsi="Times New Roman"/>
          <w:sz w:val="18"/>
          <w:szCs w:val="18"/>
          <w:color w:val="auto"/>
        </w:rPr>
        <w:t xml:space="preserve">, but also other gene mutations associated with RP. As a potent modifier gene, expression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may help reset retinal cell homeostasis, metabolism, and visual cycle function (</w:t>
      </w:r>
      <w:r>
        <w:rPr>
          <w:rFonts w:ascii="Times New Roman" w:cs="Times New Roman" w:eastAsia="Times New Roman" w:hAnsi="Times New Roman"/>
          <w:sz w:val="18"/>
          <w:szCs w:val="18"/>
          <w:b w:val="1"/>
          <w:bCs w:val="1"/>
          <w:color w:val="auto"/>
        </w:rPr>
        <w:t>Figure 9</w:t>
      </w:r>
      <w:r>
        <w:rPr>
          <w:rFonts w:ascii="Times New Roman" w:cs="Times New Roman" w:eastAsia="Times New Roman" w:hAnsi="Times New Roman"/>
          <w:sz w:val="18"/>
          <w:szCs w:val="18"/>
          <w:color w:val="auto"/>
        </w:rPr>
        <w:t xml:space="preserve">). OCU400 has received ODD for RP and LCA, a RMAT designation to OCU400 for the treatment of RP associated with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and OMPD from the EC, based on the recommendation of the EMA, for RP and LCA. We believe these broad ODD, RMAT, and OMPD designations demonstrate that OCU400 has the potential to be a broad-spectrum therapeutic to treat RP. These ODD, RMAT, and OMPD designations represent gene-agnostic broad coverage for RP and is not mutation-specific designations.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9: Mechanism of our modifier gene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156845</wp:posOffset>
            </wp:positionV>
            <wp:extent cx="5863590" cy="1859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Figure 9 </w:t>
      </w:r>
      <w:r>
        <w:rPr>
          <w:rFonts w:ascii="Times New Roman" w:cs="Times New Roman" w:eastAsia="Times New Roman" w:hAnsi="Times New Roman"/>
          <w:sz w:val="18"/>
          <w:szCs w:val="18"/>
          <w:i w:val="1"/>
          <w:iCs w:val="1"/>
          <w:color w:val="auto"/>
        </w:rPr>
        <w:t>demonstrates the mechanism of our modifier gene therapy in a preclinical model. In single-gene replacement therapies such as gene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augmentation, only the non-functional gene is targeted. and accordingly, this therapy cannot improve a multitude of disease-causing genetic defects. In our modifier gene therapy platform, a functional gene of the retina-specific NHR gene, NR2E3, is introduced to modify the expression of many genes and gene networks and restore homeostasis. In the above figure, overexpression of NR2E3 restores the structure of the outer nuclear layer as seen in the treated mice, when compared to untreated Rho</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miceOS= Outer Segments, ONL= Outer Nuclear Layer, INL= Inner Nuclear Layer, OPL= Outer Plexiform Layer, GCL= Ganglion Cell Layer.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Phase 3 clinical trial enrollment is complete and 140 subjects are enrolled. We remain on track to begin the rolling BLA submission in the third quarter of 2026 with Phase 3 top line data expected to be published in the first quarter of 2027.</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Novel Modifier Gene Therapy Platform Based on the Use of NHRs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NHRs are intracellular receptors that regulate gene expression, acting as master regulator genes in the retina. NHRs play a vital role in regulating retinal cell development, maturation, metabolism, visual cycle function, survival, and maintaining the cellular and molecular homeostasis in retinal tissues. Our modifier gene therapy platform is designed to target NHRs to potentially provide therapeutic benefit to patients suffering from genetically diverse IRDs. The use of genetic modifiers represents a broadened means of potentially treating a variety of retinal degenerative diseases, as compared to single-gene replacement therapy. While single-gene replacement therapies have shown tremendous promise in rare retinal diseases, they are highly specific and cannot improve a multitude of disease-causing genetic defects. Our modifier gene therapy platform has the potential to restore retinal integrity and function across a range of genetically diverse IRDs and other degenerative retinal diseases providing us with significant potential long-term value.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modifier gene therapy platform encompasses the targeted delivery and expression of certain NHRs that are expressed naturally in retinal tissue. Preclinical studies have shown that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a member of the NHR family, is a dual activator and repressor that, with other transcription factors, modulates cell fate and differentiation of rod and cone photoreceptor cells, specialized cells for detecting light, in the eye. Disease outcome is a result of a primary mutation as well as modifier alleles.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is a master regulator of several key pathways in retinal development and function.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potentially prevents and rescues degenerating retina by resetting the homeostatic state of key gene networks in the presence of a primary mutation.</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delivery of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in a mouse lacking a functional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gene restored the retina structure and function. We believe that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may partially or fully rescue photoreceptors from degeneration in patients with IRDs and improve patients' vision. It was also demonstrated preclinically that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offers a protective allele in AMD where the loss of photoreceptor cells leads to blindness. NR2E3 regulates the expression of both Nuclear Receptor Subfamily 1 Group D Member 1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Thus, the nuclear receptors work in overlapping networks to modulate normal retinal development and function. These receptors impact gene expression of hundreds of genes and numerous networks and, as such, may be potent modifiers of retinal disease and degeneration.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OCU400 Phase 3 Clinical Study Overview</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April 2024, the FDA cleared our IND amendment to initiate a Phase 3 liMeliGhT clinical trial of OCU400 for RP. OCU400 is the first potential novel modifier gene therapy program to enter Phase 3 with a broad RP indication. This Phase 3 trial enrollment is complete and enrolled 140 subjects, distributed 2:1 (treatment: control) representing early- to late-stage subjects among a broad RP population, including pediatrics (3+ years). Subjects will be followed for a year after dosing for primary end point analyses. In the Phase 1/2 OCU400 clinical trial a MLMT scale was the primary functional endpoint. For the Phase 3 OCU400 clinical trial, an updated mobility course will be used, Luminance Dependent Navigation Assessment ("LDNA") that includes a wider range of light intensity (0.04-500 Lux) and Lux Levels (0-9) with a uniform correlation between Lux level and Lux intensity.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OCU400 Phase 1/2 Clinical Study Results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January 2025, we announced positive two-year long term data across multiple mutations from the Phase 1/2 clinical trial of OCU400, which demonstrated a durable and statistically significant (p=0.005) improvement in visual function (LLVA) in all evaluable treated subjects at two years when compared to untreated eyes. 100% (10/10) of treated evaluable subjects demonstrated improvement or preservation in visual function compared to untreated eyes. Also, treated eyes with multiple mutations and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subjects demonstrated a statistically significant (p=0.005) improvement in visual function when compared to untreated eyes.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In the Phase 1/2 OCU400-101 study, a total of 22 subjects aged nine to 77 years, male and female, received OCU400 subretinal injection in three dose levels of up to 300 µL. All subjects had a confirmed molecular diagnosis of either a biallelic autosomal recessive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mutations, or autosomal dominant </w:t>
      </w:r>
      <w:r>
        <w:rPr>
          <w:rFonts w:ascii="Times New Roman" w:cs="Times New Roman" w:eastAsia="Times New Roman" w:hAnsi="Times New Roman"/>
          <w:sz w:val="18"/>
          <w:szCs w:val="18"/>
          <w:i w:val="1"/>
          <w:iCs w:val="1"/>
          <w:color w:val="auto"/>
        </w:rPr>
        <w:t xml:space="preserve">NR2E3 </w:t>
      </w:r>
      <w:r>
        <w:rPr>
          <w:rFonts w:ascii="Times New Roman" w:cs="Times New Roman" w:eastAsia="Times New Roman" w:hAnsi="Times New Roman"/>
          <w:sz w:val="18"/>
          <w:szCs w:val="18"/>
          <w:color w:val="auto"/>
        </w:rPr>
        <w:t>mutation, or autosomal dominant</w:t>
      </w:r>
      <w:r>
        <w:rPr>
          <w:rFonts w:ascii="Times New Roman" w:cs="Times New Roman" w:eastAsia="Times New Roman" w:hAnsi="Times New Roman"/>
          <w:sz w:val="18"/>
          <w:szCs w:val="18"/>
          <w:i w:val="1"/>
          <w:iCs w:val="1"/>
          <w:color w:val="auto"/>
        </w:rPr>
        <w:t xml:space="preserve"> RHO </w:t>
      </w:r>
      <w:r>
        <w:rPr>
          <w:rFonts w:ascii="Times New Roman" w:cs="Times New Roman" w:eastAsia="Times New Roman" w:hAnsi="Times New Roman"/>
          <w:sz w:val="18"/>
          <w:szCs w:val="18"/>
          <w:color w:val="auto"/>
        </w:rPr>
        <w:t>mutations or</w:t>
      </w:r>
      <w:r>
        <w:rPr>
          <w:rFonts w:ascii="Times New Roman" w:cs="Times New Roman" w:eastAsia="Times New Roman" w:hAnsi="Times New Roman"/>
          <w:sz w:val="18"/>
          <w:szCs w:val="18"/>
          <w:i w:val="1"/>
          <w:iCs w:val="1"/>
          <w:color w:val="auto"/>
        </w:rPr>
        <w:t xml:space="preserve"> CEP290 </w:t>
      </w:r>
      <w:r>
        <w:rPr>
          <w:rFonts w:ascii="Times New Roman" w:cs="Times New Roman" w:eastAsia="Times New Roman" w:hAnsi="Times New Roman"/>
          <w:sz w:val="18"/>
          <w:szCs w:val="18"/>
          <w:color w:val="auto"/>
        </w:rPr>
        <w:t>mutation. In continuation of the preliminary analyses update, we announced an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18 participants. The positive trial update demonstrated that OCU400 continued to be generally safe and well-tolerated in subjects across different mutations and dose levels. Positive long-term, 3-year Phase 1/2 durable, safety and tolerability data for OCU400 demonstrate sustained clinically meaningful, approximately 2-line LLVA gain, reinforcing durable gene-agnostic benefits. Positive long-term, 3-year Phase 1/2 data for OCU400 were recently assessed in evaluable subjects and builds on prior 2-year results showing consistent clinically meaningful, approximately 2-line LLVA gain across mutations. OCU400 maintained a favorable durability, safety and tolerability profile with no new treatment-related serious adverse events or adverse events of interest emerged.</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data include:</w:t>
      </w:r>
    </w:p>
    <w:p>
      <w:pPr>
        <w:spacing w:after="0" w:line="16" w:lineRule="exact"/>
        <w:rPr>
          <w:sz w:val="20"/>
          <w:szCs w:val="20"/>
          <w:color w:val="auto"/>
        </w:rPr>
      </w:pPr>
    </w:p>
    <w:p>
      <w:pPr>
        <w:ind w:left="1300" w:hanging="320"/>
        <w:spacing w:after="0" w:line="243"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Visual function benefits were consistently observed over 3 years, with 88% (7/8) of evaluable treated subjects showing improvement or preservation versus untreated fellow eyes.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2-line gain (N=8) observed across multiple mutation types in treated eyes compared to untreated eyes at 3 years.</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on track to begin a rolling BLA submission in the third quarter of 2026. Topline Phase 3 data expected in the first quarter of 2027, advancing OCU400 towards potential approval in 2027 as a treatment option for early- to late-stage RP.</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efficacy for the Phase 1/2 clinical trial of OCU400 was evaluated in the overall studies. 89% (16/18) of treated subjects demonstrated stabilization or improvement in one or more visual function measures (BCVA or LLVA, or Mobility Test).</w:t>
      </w:r>
    </w:p>
    <w:p>
      <w:pPr>
        <w:spacing w:after="0" w:line="230" w:lineRule="exact"/>
        <w:rPr>
          <w:sz w:val="20"/>
          <w:szCs w:val="20"/>
          <w:color w:val="auto"/>
        </w:rPr>
      </w:pPr>
    </w:p>
    <w:p>
      <w:pPr>
        <w:ind w:left="660" w:hanging="328"/>
        <w:spacing w:after="0" w:line="227"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Functional vision: 78% (14/18) of subjects demonstrated preservation or improvement in Mobility Test performance, reflecting improved outcomes to peripheral vision due to OCU400 treatment and the subject's ability to see in low-light conditions.</w:t>
      </w:r>
    </w:p>
    <w:p>
      <w:pPr>
        <w:spacing w:after="0" w:line="239"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RHO mutation subgroup: 80% (8/10) of subjects carrying RHO mutations demonstrated stabilization or improvement in the Mobility Test, consistent with the therapy’s gene-agnostic mechanism of action.</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Mobility Test improvements:</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At 12 months, treated eyes in the intent-to-treat (ITT) subgroup demonstrated meaningful improvements in functional vision.</w:t>
      </w:r>
    </w:p>
    <w:p>
      <w:pPr>
        <w:ind w:left="980"/>
        <w:spacing w:after="0" w:line="234" w:lineRule="auto"/>
        <w:rPr>
          <w:sz w:val="20"/>
          <w:szCs w:val="20"/>
          <w:color w:val="auto"/>
        </w:rPr>
      </w:pPr>
      <w:r>
        <w:rPr>
          <w:rFonts w:ascii="Times New Roman" w:cs="Times New Roman" w:eastAsia="Times New Roman" w:hAnsi="Times New Roman"/>
          <w:sz w:val="18"/>
          <w:szCs w:val="18"/>
          <w:color w:val="auto"/>
        </w:rPr>
        <w:t>o 62.5% (5/8) of evaluable subjects achieved a ≥2 Lux level improvement in the Mobility Test following OCU400 treatment.</w:t>
      </w:r>
    </w:p>
    <w:p>
      <w:pPr>
        <w:spacing w:after="0" w:line="1" w:lineRule="exact"/>
        <w:rPr>
          <w:sz w:val="20"/>
          <w:szCs w:val="20"/>
          <w:color w:val="auto"/>
        </w:rPr>
      </w:pPr>
    </w:p>
    <w:p>
      <w:pPr>
        <w:jc w:val="both"/>
        <w:ind w:right="20" w:firstLine="972"/>
        <w:spacing w:after="0" w:line="234" w:lineRule="auto"/>
        <w:rPr>
          <w:sz w:val="20"/>
          <w:szCs w:val="20"/>
          <w:color w:val="auto"/>
        </w:rPr>
      </w:pPr>
      <w:r>
        <w:rPr>
          <w:rFonts w:ascii="Times New Roman" w:cs="Times New Roman" w:eastAsia="Times New Roman" w:hAnsi="Times New Roman"/>
          <w:sz w:val="18"/>
          <w:szCs w:val="18"/>
          <w:color w:val="auto"/>
        </w:rPr>
        <w:t>o The ITT subgroup included non-sentinel subjects, Subjects with AD-NR2E3 mutations, and subjects with a ceiling effect who could not be further evaluated for Mobility Test gains due to limitations in the multi-luminance mobility test assessment.</w:t>
      </w:r>
    </w:p>
    <w:p>
      <w:pPr>
        <w:ind w:left="980"/>
        <w:spacing w:after="0" w:line="236" w:lineRule="auto"/>
        <w:rPr>
          <w:sz w:val="20"/>
          <w:szCs w:val="20"/>
          <w:color w:val="auto"/>
        </w:rPr>
      </w:pPr>
      <w:r>
        <w:rPr>
          <w:rFonts w:ascii="Times New Roman" w:cs="Times New Roman" w:eastAsia="Times New Roman" w:hAnsi="Times New Roman"/>
          <w:sz w:val="18"/>
          <w:szCs w:val="18"/>
          <w:color w:val="auto"/>
        </w:rPr>
        <w:t>o Treated eyes showed a mean improvement of approximately 10 seconds in Mobility Test completion time compared with untreated eyes</w:t>
      </w:r>
    </w:p>
    <w:p>
      <w:pPr>
        <w:spacing w:after="0"/>
        <w:rPr>
          <w:sz w:val="20"/>
          <w:szCs w:val="20"/>
          <w:color w:val="auto"/>
        </w:rPr>
      </w:pPr>
      <w:r>
        <w:rPr>
          <w:rFonts w:ascii="Times New Roman" w:cs="Times New Roman" w:eastAsia="Times New Roman" w:hAnsi="Times New Roman"/>
          <w:sz w:val="18"/>
          <w:szCs w:val="18"/>
          <w:color w:val="auto"/>
        </w:rPr>
        <w:t>(p=0.031).</w:t>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These findings demonstrate enhanced functional performance under low-luminance conditions and support the gene-agnostic efficacy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OCU400.</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Durability at 24 Months: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Long-term follow-up data at 24 months demonstrated sustained functional benefit, with statistically significant improvement in LLVA</w:t>
      </w:r>
    </w:p>
    <w:p>
      <w:pPr>
        <w:spacing w:after="0" w:line="234" w:lineRule="auto"/>
        <w:rPr>
          <w:sz w:val="20"/>
          <w:szCs w:val="20"/>
          <w:color w:val="auto"/>
        </w:rPr>
      </w:pPr>
      <w:r>
        <w:rPr>
          <w:rFonts w:ascii="Times New Roman" w:cs="Times New Roman" w:eastAsia="Times New Roman" w:hAnsi="Times New Roman"/>
          <w:sz w:val="18"/>
          <w:szCs w:val="18"/>
          <w:color w:val="auto"/>
        </w:rPr>
        <w:t>(p=0.005)</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100% of treated subjects maintaining or improving visual function compared to baseline.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dAMD and Stargardt Disease and Current Treatment Options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dAMD is attributed to the thinning of the macula of the retina, which leads to impairment and loss of central vision. The macula is the part of the retina responsible for clear vision in one's direct line of sight. dAMD is characterized by the thickening and loss of normal architecture within the Bruch's membrane, lipofuscin accumulation in the RPE, and drusen formation beneath the RPE in the Bruch's membrane. These deposits consist of complement components, other inflammatory molecules, lipids, lipoproteins B and E, and glycoproteins. Common risk factors for dAMD include genetics, smoking, nutrition and vitamin deficiency, and heart disease. dAMD, which affects over 266 million individuals worldwide, involves the slow deterioration of the retina with submacular drusen (small white or yellow dots on the retina), atrophy, loss of macular function, and central vision impairment. Common symptoms of dAMD include visual distortions, reduced central vision in one or both eyes, increased difficulty adapting to low levels of light, and a well-defined blind spot in one's field of vision. GA is an advanced form of dAMD that affects approximately two to three million people in the United States and Europe and eight million people worldwide. GA involves several biological factors and pathways, including lipid metabolism, oxidative stress, inflammation, and activation of the complement system. The currently approved treatments for GA only focus on the complement system with limited treatment benefits.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Similarly, ST is a rare genetic eye disorder that causes retinal degeneration and ultimately leads to loss of central vision. It is the most common form of inherited macular degeneration, affecting approximately 0.1 million people in the United States and Europe. ST happens when lipofuscin, a fatty yellow pigment, accumulates on the macula, which leads to the degeneration of the photoreceptor cells in the macula and ultimately leads to progressive central vision loss. The photoreceptor cells convert light into electrical signals, which are then sent to the brain where they are processed to create the images we see. ST is usually caused by mutations in the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 xml:space="preserve"> gene and is inherited in an autosomal recessive manner. This gene affects how a person's body uses vitamin A. The body uses vitamin A to make cells in the retina. Common symptoms of ST include gray, black, or hazy spots in one's central vision, sensitivity to light, increased time for eyes to adjust between light and dark places, color blindness, and gradual central vision loss in both eyes. Currently no treatment options exist to address all four disease pathways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dAMD or reverse or slow the progression of ST, and accordingly, there remains a significant unmet medical need for these ocular diseases.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OCU410 and OCU410ST for the Treatment of Dry AMD and Stargardt Disease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developing OCU410 and OCU410ST for the treatment of dAMD and ST, respectively. OCU410 and OCU410ST utilize an AAV delivery platform for the retinal delivery of the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gene.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regulated gene networks are relevant in the treatment of dAMD and ST.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reduces oxidative stress, limits lipofuscin deposits, reduces chronic inflammation, regulates complement activation, and improves choroidal blood flow. Gene variants of the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 xml:space="preserve"> gene are associated with both AMD and ST. ST is usually caused by mutations in the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 xml:space="preserve"> gene. This gene transports oxidized retinol compounds from photoreceptors to RPE cells for detoxification. In mice models, </w:t>
      </w:r>
      <w:r>
        <w:rPr>
          <w:rFonts w:ascii="Times New Roman" w:cs="Times New Roman" w:eastAsia="Times New Roman" w:hAnsi="Times New Roman"/>
          <w:sz w:val="18"/>
          <w:szCs w:val="18"/>
          <w:i w:val="1"/>
          <w:iCs w:val="1"/>
          <w:color w:val="auto"/>
        </w:rPr>
        <w:t>ABCA4 -/-</w:t>
      </w:r>
      <w:r>
        <w:rPr>
          <w:rFonts w:ascii="Times New Roman" w:cs="Times New Roman" w:eastAsia="Times New Roman" w:hAnsi="Times New Roman"/>
          <w:sz w:val="18"/>
          <w:szCs w:val="18"/>
          <w:color w:val="auto"/>
        </w:rPr>
        <w:t xml:space="preserve"> displayed low levels of CD59. A cell-surface glycoprotein, CD59, prevents the formation of the complement membrane attack complex.</w:t>
      </w:r>
    </w:p>
    <w:p>
      <w:pPr>
        <w:spacing w:after="0" w:line="20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February 2025, we announced that alignment has been reached with the FDA to move forward with a Phase 2/3 pivotal confirmatory clinical trial for OCU410ST which, if positive, can be the basis of a BLA submission. The Phase 2/3 clinical trial will randomize 51 subjects, 34 of whom will receive a single, subretinal, 200-μL injection of OCU410ST at a concentration of 1.5 x 10</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vector genomes (vg)/mL in the eye with worse visual acuity, and 17 of whom will serve as untreated controls. The primary endpoint in the clinical trial is change in atrophic lesion size. Secondary endpoints include visual acuity as measured by best corrected visual acuity (BCVA) and LLVA compared to untreated controls. One-year data will be utilized for the BLA filing. In March 2025, we announced that the EC has provided a positive opinion from the EMA Committee for Advanced Therapies for OCU410 and OCU410ST ATMP classification.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NOVEL BIOLOGIC PRODUCT CANDIDATE FOR RETINAL DISEASES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developing OCU200, which is a novel fusion protein containing parts of human transferrin and tumstatin. OCU200 is designed to treat DME, DR, and Wet AMD. We have completed the technology transfer of manufacturing processes to our CDMO and have produced trial materials to initiate a Phase 1 trial. The Phase 1 clinical trial will assess the unilateral intravitreal administration of OCU200 alone or in combination with an approved anti-VEGF therapy in participants with DME. This is a multicenter, open-label, dose ranging trial with three cohorts in the dose-escalation portion of the trial. The first subject was dosed in the OCU200 multicenter open label Phase 1 clinical trial in January 2025, and enrollment is expected to be completed during the first quarter of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DR and DME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is a sight-threatening complication of diabetes arising from the over-accumulation of glucose, which can block blood vessels in the retina and cut off blood supply, leading to the damage of blood vessels in the retina. DR is classified into two subtypes: non-proliferative DR and proliferative DR. Non-proliferative DR is the early stage of DR wherein blood vessels are unable to grow, blood vessel walls weaken, and nerve fibers in the retina may swell. Proliferative DR is the advanced stage of DR in which damaged blood vessels close off, leading to the growth of new, abnormal blood vessels in the retina. This growth of new, abnormal blood vessels in the retina can lead to scar tissue, which can result in the detachment of the retina from the back of the eye.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Complications from DR could lead to DME. In DME, bulges can protrude from the blood vessel walls, leading to the leakage of fluid and blood into the retina. This leakage results in swelling, or "edema," in the macula, which is a part of the retina. DME may occur at any stage of DR but is more likely to occur as the disease progresses. DME is the most common reason for vision loss in patients with DR.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and DME are the most common vision-threatening diseases in patients with diabetes. Approximately 162 million individuals are affected with DR and approximately 21 million with DME worldwide. As the population of people experiencing diabetes increases, these statistics are expected to increase, due to poor disease management, lifestyle-related changes and the aging population. There are limited treatment options available for patients with DR and DME. Current first-line treatments for DR and DME include the use of anti-vascular endothelial growth factor ("VEGF") therapy and anti-inflammatory therapy, such as corticosteroids. These treatments do not work effectively in approximately 50% of patients with DME. There is a significant need to develop a novel, differentiated therapeutic to treat DR and DME.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current therapies target only one pathway associated with DR and DME, either angiogenesis (development of new blood vessels) with anti-VEGF therapy, such as Ranibizumab or Aflibercept, or inflammation in case of corticosteroid therapy,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as Dexamethasone or Fluocinolone. The development of a therapeutic which targets multiple causative pathways of DR and DME, such as angiogenesis, oxidation, and inflammation, would offer a potential treatment option for all patients. We believe that OCU200 possesses unique characteristics to target these pathways and has the potential to offer better treatment options for all patients with DR and DME.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Wet AMD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OCU200 also has the potential to represent a better treatment option for patients suffering from Wet AMD. Most AMD cases begin as dAMD and may progress towards the advanced "Wet" form. Wet AMD is caused by abnormal blood vessels in the retina that leak fluid or blood into the macula. The result can be irreversible damage to photoreceptor cells and rapid, severe vision loss, particularly in the center of the field of vision, causing significant functional impairment. If left untreated, neovascularization in Wet AMD patients typically results in significant vision loss and the formation of a scar under the macula. Wet AMD affects approximately 10-15% of patients with AMD but progresses more rapidly and is known to be responsible for approximately 90% of all AMD-related blindness.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AMD is a leading cause of blindness worldwide. The incidence of Wet AMD increases substantially with age, and it is expected that the number of cases of Wet AMD will increase with the growth of the elderly population. It has been estimated that approximately 20-30 million individuals worldwide suffer from Wet AMD.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 FDA approved therapeutics for Wet AMD include intravitreal injection of either Ranibizumab or Aflibercept, which are anti-VEGF therapies. Though treatments have been effective in mitigating the disease symptoms, clinical studies suggest substantial limitations remain. For example, a significant percentage of people do not respond to therapy and experience continuous deterioration of their vision. Additionally, the repeated use of anti-VEGF therapy becomes less effective over time. Between 30-50% of people affected by Wet AMD continue to have fluid remain in the middle of the eye, also called the subretinal space, even after one to two years of treatment.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above limitations of these existing treatments, we believe that a substantial unmet medical need exists for the treatment of DR, DME, and Wet AMD.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OCU200 for the Treatment of DR, DME, and Wet AMD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OCU200 is a novel recombinant fusion protein containing parts of human transferrin and tumstatin, that are already present normally in retinal tissues. Patients affected by these diseases share common symptoms, such as blurriness in vision and continued vision loss through disease progression. The formation of fragile and leaky new abnormal blood vessels leads to fluid accumulation in and around the retina, causing vision damage.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OCU200 possesses unique features to efficiently target retina and choroid and inhibit vascular leakage and/or growth of new blood vessels. Tumstatin, which acts as an anti-angiogenic, anti-inflammatory, and anti-oxidative agent, is the active component of OCU200. It binds to integrin receptors, which play a crucial role in disease pathogenesis. Transferrin is expected to enhance the delivery of fused proteins across cellular barriers, including retinal barriers. OCU200 is designed to address the limitations of current therapies by targeting multiple mechanisms associated with ocular neovascularization and inflammation specifically focusing on non-responders to currently available treatment options.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proof-of-concept study involving different animal models demonstrated the therapeutic potential of OCU200 in the treatment of DR, DME, and Wet AMD. In an animal model for DME and DR (oxygen-induced retinopathy in mice), OCU200, at a significantly lower dose (10 micrograms per eye), was comparable to existing approved anti-VEGF therapy (Eylea, 20 micrograms per eye) in preventing disease manifestation and progression. Studies in animal models for Wet AMD (laser induced choroidal neovascularization in mice and rats) suggest that OCU200 may possess comparable or slightly better activity compared to anti-VEGF control groups in preventing the formation and growth of new leaky blood vessels and subsequently disease symptoms. We believe that OCU200's distinct mechanism of action by targeting the integrin pathway could potentially provide benefit to patients, particularly to those patients that do not respond to currently approved therapies. The OCU200 Phase 1 clinical trial employs a sequential dose-escalation design across four cohorts (n=3 per cohort) to evaluate safety and tolerability in patients with diabetic macular edema (DME) with the following dose levels for Cohort 1: 25 μg or 0.025 mg per eye, Cohort 2: 50 μg or 0.05 mg per eye, Cohort 3: 100 μg or 0.1 mg per eye and Cohort 4: 250 μg or 0.25 mg per eye.</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All doses were administered via intravitreal injection in a fixed volume of 50 μL per injection. Following completion of Cohorts 1 and 2, the inclusion and exclusion criteria were modified in Cohort 3 to optimize patient selection, with an additional three subjects recruited to establish the maximum tolerated dose (MTD). No serious adverse events (SAEs) or adverse events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related to OCU200 reported to date across the dose-escalation cohorts and enrollment is expected to be completed during the first quarter of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NEOCART (AUTOLOGOUS CHONDROCYTE-DERIVED NEOCARTILAGE) CELL THERAPY PLATFORM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diversified our innovative pipeline in 2022 by introducing NeoCart (autologous chondrocyte-derived neocartilage), a Phase 3-ready, regenerative medicine cell therapy technology that combines breakthroughs in bioengineering and cell processing to enhance the autologous cartilage repair process. We believe NeoCart has the potential to accelerate healing and reduce pain by reconstructing a patient's previously damaged knee cartilage. In May 2022, the FDA granted an RMAT designation to NeoCart for the repair of full-thickness lesions of knee cartilage injuries in adults.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NeoCart was acquired in our reverse merger in 2019 with Histogenics Corporation ("Histogenics"). Prior to 2019, Phase 1 and Phase 2 clinical trials were conducted to demonstrate the safety and efficacy of NeoCart. These clinical trials reported a decrease in pain and improved function of the knee. Additionally, per the results of the Phase 2 clinical trial, more patients responded to NeoCart than microfracture surgery. No SAEs were reported. A Phase 3 clinical trial was conducted to demonstrate the safety and effectiveness of NeoCart as compared to microfracture surgery to treat cartilage defects in the knee. This clinical trial enrolled 249 subjects between the ages of 18 and 59. The Phase 3 clinical trial of NeoCart narrowly missed the primary endpoint of a statistically significant improvement in pain and function in a dual threshold responder analysis one year after the treatment as compared to microfracture surgery.</w:t>
      </w:r>
    </w:p>
    <w:p>
      <w:pPr>
        <w:spacing w:after="0" w:line="20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have received concurrence from the FDA on the confirmatory Phase 3 clinical trial design. This study will be a randomized, controlled clinical trial designed to evaluate the efficacy and safety of NeoCart in comparison to the current standard of care, chondroplasty, in subjects with articular cartilage defects. We intend to initiate the Phase 3 trial contingent on adequate availability of funding to support clinical trial and manufacturing of NeoCart product. Our Phase 3 clinical trial will use chondroplasty as the control instead of microfracture, which was used in the Phase 3 clinical trial conducted by Histogenics. Additionally, the Phase 3 clinical trial conducted by Histogenics used a responder analysis for the co-primary endpoint (as opposed to microfracture) that included an improvement of at least 12 points in outcome compared to baseline at one year on the knee injury and OA outcome score pain assessment test and an improvement of at least 20 points in outcome compared to baseline on the International Knee Documentation Committee subjective test. In contrast, our Phase 3 clinical trial will use a co-primary efficacy endpoint defined as the mean change from baseline (as opposed to chondroplasty) to two years for the patients' Knee Injury and Osteoarthritis ("OA") Outcome Score Pain and Function (Activities of Daily Living) subscale scales. Additionally, the Phase 3 clinical trial conducted by Histogenics enrolled patients with a total lesion size of less than six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while our Phase 3 clinical trial will enroll patients with total lesion sizes between one to three cm2. During 2025, we transferred the assets related to our NeoCart product candidate to OrthoCellix.</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cartilage is a complex tissue which protects the various joints and bones in the human body. It acts as a shock absorber throughout the body withstanding significant pressure and allows for joints to glide smoothly with minimal friction. Cartilage damage can be caused by acute trauma, such as a bad fall or a sports-related injury, or by repetitive trauma, such as general wear over time. Unlike other tissues in the body, cartilage in the joints has no innate ability to repair itself, making any injury permanent. If left untreated, even a small defect can expand in size and progress to debilitating OA, ultimately requiring a joint replacement procedure. Over 528 million individuals worldwide are diagnosed with OA. This number is expected to increase as the population of aging yet active individuals and the rates of obesity increase.</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believe the current therapies available to treat cartilage damage in the knee are suboptimal with varying outcomes due to variable cellular responses. Chondroplasty is often recommended in patients with small cartilage lesions (between one and three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This procedure is performed through small incisions on the sides of the knee with the aid of an arthroscope. During this procedure, the damaged cartilage is trimmed, and the remaining surface is smoothed. Microfracture surgery is a frequently used procedure for severe cartilage damage which yields varying outcomes from patient to patient. This surgery consists of the creation of tiny holes or "fractures" in the bone underneath the injured cartilage, leading to the formation of a blood clot in the affected area. The blood and bone marrow that form the blood clot contain stem cells, which are expected to grow into cartilage-building cells, as well as growth factors to support cell function and development of replacement cartilage matrix. Approximately 30% of patients that have undergone microfracture surgery continue to have pain and reduced knee function. Additionally, current therapies require extensive recovery time. They are often ineffective in the long term as they do not adequately address cartilage damage, which leads to additional corrective surgeries. In NeoCart, autologous culture chondrocytes on porcine collagen membrane (MACI) is used for the repair of symptomatic, single, or multiple full-thickness cartilage defects of the knee with or without bone involvement in adults less than 55 years of age. It is a three-by-five centimeter cellular sheet with a density of 500,000 cells per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other options for cartilage repair include osteochondral autograft transplantation ("OAT"), osteochondral allograft resurfacing ("OCA"), and autologous chondrocyte implantation ("ACI"). During OAT, damaged cartilage is removed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replaced with healthy cartilage from a non-weight-bearing area of the joint. OAT is recommended for small to medium sized lesions (between 1.5 and four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and is limited by the amount of donor tissue available, the need for open surgery, and donor site morbidity. OCA is a similar process to OAT except that the tissue is sourced from cadaveric donor bone and cartilage. OCA is recommended for large lesions (between four and 10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and can be performed in a single procedure but is limited by the availability of cadaveric tissue. ACI is a process where cartilage cells are harvested from a non-weight bearing part of the knee and are cultured in a laboratory. They are subsequently implanted into the injured area.</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 one million arthroscopies are performed annually as a procedure to diagnose and treat issues of the joint. Patients and physicians are in need of treatment options that offer more rapid and durable recovery compared to the current treatment options. The attributes of an optimal treatment for a damaged knee cartilage involve the reduction in pain, repair of the knee cartilage, rapid return to daily activities, durable response, and a non-opioid approach. We believe NeoCart would represent a better solution to treat cartilage damage in the knee as it has the potential to solve for the limitations of the current therapies and has the potential to provide improved efficacy, long-term patient benefits, accelerated patient recovery, and predictable patient outcomes.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NeoCart is designed to treat pain at the source, improve function, and potentially prevent a patient's progression to OA. NeoCart is a three-dimensional tissue-engineered disc of new cartilage that is manufactured by growing chondrocytes, the cells responsible for maintaining cartilage health. The chondrocytes are derived from the patient on a unique scaffold. In this therapy, the patient's cells are separated from a tissue biopsy specimen and multiplied in a manufacturing facility. The cells are then infused into the scaffold, which is a three-dimensional structure that enables the proper delivery, distribution, and organization of cells in their natural environment to support tissue formation. Before NeoCart is implanted in a patient, the patient's cells and the scaffold undergo a bioengineering process in a Tissue Engineering Processor ("TEP"). The TEP is designed to mimic the conditions inside a functional joint so that the tissue is prepared to begin functioning like normal healthy cartilage prior to implantation. Once NeoCart is ready to be implanted, a bioadhesive is used to anchor NeoCart at the site of cartilage injury and seal the implant to the surrounding native cartilage. The bioadhesive is a natural, biocompatible material which acts as adhesives for biological tissue, thereby eliminating the need for complicated suturing (</w:t>
      </w:r>
      <w:r>
        <w:rPr>
          <w:rFonts w:ascii="Times New Roman" w:cs="Times New Roman" w:eastAsia="Times New Roman" w:hAnsi="Times New Roman"/>
          <w:sz w:val="18"/>
          <w:szCs w:val="18"/>
          <w:b w:val="1"/>
          <w:bCs w:val="1"/>
          <w:color w:val="auto"/>
        </w:rPr>
        <w:t>Figure 10</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10: Mechanism of the regenerative medicine cell therapy technology, NeoCart.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156845</wp:posOffset>
            </wp:positionV>
            <wp:extent cx="3900170" cy="258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0017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Figure 10 </w:t>
      </w:r>
      <w:r>
        <w:rPr>
          <w:rFonts w:ascii="Times New Roman" w:cs="Times New Roman" w:eastAsia="Times New Roman" w:hAnsi="Times New Roman"/>
          <w:sz w:val="18"/>
          <w:szCs w:val="18"/>
          <w:i w:val="1"/>
          <w:iCs w:val="1"/>
          <w:color w:val="auto"/>
        </w:rPr>
        <w:t>demonstrates the mechanism of our regenerative medicine cell therapy technology, NeoCart. We believe NeoCart has the potential to accelerate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healing and reduce pain by reconstructing a patient's previously damaged knee cartilage. In this therapy, healthy cartilage tissue is grown and implanted in the patient.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INHALED MUCOSAL VACCINE PLATFORM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developing a next-generation, inhalation-based mucosal vaccine platform based on a novel ChAd vector, which includes OCU500, a COVID-19 vaccine; OCU510, a seasonal quadrivalent flu vaccine; and OCU520, a combination quadrivalent seasonal flu and COVID-19 vaccine.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COVID-19</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COVID-19, caused by the SARS-CoV-2 virus, was first reported to have surfaced in Wuhan, China in December 2019 and was declared a global pandemic by the World Health Organization ("WHO") in March 2020. COVID-19 is a highly transmissible disease that spreads from person to person through respiratory droplets that are produced when an infected person coughs, sneezes, or talks. Since being discovered, new variants of SARS-CoV-2 have emerged. New variants of a virus emerge when a mutation to the virus' genes occurs. As of November 24, 2024, SARS-CoV-2 and its variants have caused approximately over 776.9 million cases of COVID-19 and 7.1 million deaths, with the United States alone accounting for over 103 million cases and 1.2 million deaths. On May 11, 2023, the United States Department of Health and Human Services announced the COVID-19 public health emergency ended, yet the cases remain high as new variants emerge since the current intramuscular vaccines do not provide significant protection against respiratory mucosal infection.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Seasonal Flu</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seasonal flu, or seasonal influenza, is an acute respiratory infection caused by influenza viruses circulating globally. In temperate climates, seasonal epidemics occur mainly during the winter, while in other regions, transmission may occur throughout the year, causing outbreaks more irregularly. The seasonal flu causes illnesses that range in severity and may lead to hospitalization and death in certain cases. The WHO estimates the seasonal flu results in three to five million cases of severe illness, and approximately 0.3 million to 0.7 million respiratory deaths annually.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seasonal flu spreads easily and rapidly transmits in crowded areas. The seasonal flu is transmitted when an infected person coughs or sneezes and droplets containing the virus are dispersed into the air and infects those in close proximity that breathe the droplets in. The seasonal flu can also spread through physical contact, although this type of transmission is less common than airborne transmission. The flu is most commonly prevented by getting an annual flu vaccine and taking preventative actions to avoid transmission such as staying away from those who are sick, frequent handwashing, and covering coughs and sneezes. For the United States 2024 to 2025 flu season, the Centers for Disease Control and Prevention ("CDC") estimates that 43-73 million people were sick with influenza, 19-32 million visited a healthcare provider, between 560,000 -1.1 million were hospitalized, and there were 38,000-99,000 deaths. Several flu antiviral drugs are also available in different dosage forms to treat the seasonal flu, including pills, liquid, an inhaled powder, or an intravenous solution. These flu antiviral drugs are only available through a prescription from a healthcare provider and are not sold over the counter.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Novel Inhaled Mucosal Vaccine Platform for the Prevention of COVID-19 and the Seasonal Flu</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developing a next-generation, inhalation-based mucosal vaccine platform based on a novel ChAd vector, which includes OCU500, a COVID-19 vaccine; OCU510, a seasonal quadrivalent flu vaccine; and OCU520, a combination quadrivalent seasonal flu and COVID-19 vaccine.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novel inhaled mucosal vaccine platform is specifically designed to generate local mucosal immunity in the nasopharyngeal region. The mucosal vaccination method has demonstrated potent induction of both mucosal and systemic immune responses, which prevents infection and spread, thereby limiting the origins of new variants. We believe our novel inhaled mucosal vaccine platform is unique as it is designed to induce mucosal immunity, which is crucial for preventing upper respiratory tract infection, as compared to intramuscular vaccines. The advantages of these inhaled mucosal vaccines include needle-free administration, the potential for increased compliance, scalable manufacturing, storage and shipping at standard refrigerated conditions, and the potential to develop multi-strain and variant-specific versions. As these vaccine candidates are being developed to be administered through inhalation, we believe our novel inhaled mucosal vaccine platform has the potential to generate rapid local immunity in the upper airways and lungs where viruses enter and infect the body, which we believe may help reduce or prevent infection and transmission as well as provide protection against new virus variants.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Spike (S) protein of SARS-CoV-2 is the principal target for antibody-based and vaccine countermeasures. The S protein serves as the primary viral attachment and entry factor to promote SARS-CoV-2 entry into human cells. In preclinical studies that have been conducted to assess the durability, dose response, and cross-protective activity in mice, it was demonstrated that a single dose of our inhaled mucosal COVID-19 vaccine induced durably high neutralizing and antibody effector responses in serum and S protein specific IgG and Immunoglobulin A, which is essential for reducing infection and transmission of COVID-19. This approach represents a potential universal booster, regardless of previous COVID-19 vaccination. OCU520,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combination quadrivalent seasonal flu and COVID-19 vaccine, is designed to provide the unique ease of getting both an annual COVID-19 booster vaccine and an annual seasonal flu vaccine in one vaccine.</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Pursuant to the WU License Agreement, we obtained the rights to develop, manufacture, and commercialize a mucosal COVID-19 vaccine in the Mucosal Vaccine Territory. In addition, we internally developed technology related to the flu and COVID-19's vaccine design and filed intellectual property. In October 2023, OCU500 was selected by the NIAID Project NextGen for inclusion in clinical trials. OCU500 will be tested via two different mucosal routes, inhalation and intranasal delivery. The NIAID intends to initiate a Phase 1 clinical trial in the second quarter of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biotechnology industry is characterized by rapidly advancing technologies as well as a strong emphasis on intellectual property leading to a highly competitive environment for the development and commercialization of therapeutic products, regenerative medicines, and vaccines. We face competition with respect to our current product candidates and will face competition with respect to any product candidates that we may seek to develop or commercialize in the future. We face competition from many different sources, including from major pharmaceutical companies, specialty pharmaceutical companies, biotechnology companies, academic institutions, government agencies, and other public and private research organizations that conduct research, seek patent protection, and establish collaborative arrangements for research, development, manufacturing, and commercialization. We plan to compete in the segments of pharmaceutical, biotechnological, and other related markets with therapeutics, regenerative medicines, and vaccines that have an acceptable safety profile and target commercially attractive indications.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development and commercialization of gene therapies is highly competitive. We are aware of several companies focusing on gene therapies for various ophthalmic indications including Applied Genetic Technologies Corporation, as acquired by Beacon Therapeutics, Astellas Pharma Inc., MeiraGTx Holdings plc in partnership with Janssen Pharmaceuticals, Inc., Nanoscope Therapeutics Inc., REGENXBIO Inc., Novartis AG, F. Hoffmann-La Roche AG ("Roche AG"), Kiora Pharmaceuticals, Inc., Genentech, Inc. in partnership with Lineage Cell Therapeutics, Inc., and Luxturna, the product developed by Spark Therapeutics, Inc. and marketed by Roche AG, is currently the only gene therapy approved to treat IRDs in the United States which addresses only mutations in the one gene,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The mutation associated with the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represents just one of more than 125 mutated genes linked to RP and LCA.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regenerative medicine sector is characterized by innovative science, rapidly advancing technologies, and a strong emphasis on proprietary products. The competitive landscape in the field of articular cartilage repair in the United States is emerging and has stimulated a substantial amount of interest from companies developing tissue repair solutions. Companies that may compete with our NeoCart product candidate include Vericel Corporation's MACI, the only FDA-approved ACI product in the United States, and Aesculap Biologics, LLC's NOVOCART 3D, which is currently enrolling subjects in their Phase 3 clinical trial.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and will continue to face, intense competition from companies as well as institutions that are pursuing or have commercialized vaccines that would compete with our novel inhaled mucosal vaccine platform, if commercialized. The competitive landscape of COVID-19 vaccines has been rapidly developing since the beginning of the COVID-19 pandemic and includes competitors such as Pfizer Inc./BioNTech SE, Moderna, Inc., AstraZeneca PLC, Novavax, Inc., Sinovac Biotech Ltd., Gamaleya Research Institute of Epidemiology and Microbiology, and Center for Genetic Engineering and Biotechnology. Each of the aforementioned vaccines have been authorized or approved in at least one country within the Ocugen Mucosal Vaccine Territory and are intramuscular vaccines. CanSinoBIO's Convidecia Air, an intranasal vaccine targeting COVID-19, has been approved in China. Other competitors for our novel inhaled mucosal vaccine platform include CyanVac LLC, Meissa Vaccines, Inc., Codagenix, Inc., Intravacc B.V., McMaster University, and Tetherex Pharmaceuticals Corporation. Companies such as Pfizer Inc./BioNTech SE, Moderna, Inc., CureVac N.V in partnership with GSK plc, Vivaldi Biosciences Inc., and Novavax, Inc. are also in the process of developing a combination vaccine that will protect against COVID-19 and the seasonal flu. Vivaldi Biosciences Inc. is also currently undergoing clinical trials for their intranasal vaccine for the seasonal flu.</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biologic products is highly competitive as well. Companies that may compete with our OCU200 product candidate include Roche AG, Regeneron Pharmaceuticals, Inc., AsclepiX Therapeutics, Inc., Outlook Therapeutics, Inc., Novartis AG, Oxurion NV, Unity Biotechnology, Inc., Opthea Limited, and 4D Molecular Therapeutics, Inc. Roche AG, Regeneron Pharmaceuticals, Inc., and Novartis AG have marketed anti-VEGF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may have significantly greater financial resources to support research and development, manufacturing, preclinical studies, and clinical trials, as well as regulatory, commercialization, and marketing efforts. These organizations also compete with us in recruiting and retaining qualified scientific and management personnel, establishing clinical trial sites, patient registration for clinical trials, licensing or acquiring technologies necessary for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programs, and in our commercialization efforts if our product candidates are approved. Early-stage companies may also prove to be significant competitors, particularly through collaborative arrangements with large and established companies. Mergers and acquisitions in the pharmaceutical and biotechnology industries may result in even more resources being concentrated among a smaller number of our competitors.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our in-house expertise and know-how as well as the expertise and know-how of our industry leading manufacturing partners to develop and scale up our manufacturing processes for both the clinical and commercial supply of our product candidates. Our in-house expertise includes personnel with extensive product development and commercialization experience who actively manage our manufacturing partners that produce products in our product candidate pipeline. Our current manufacturing partners have state-of-the-art facilities with significant expertise in biotechnology manufacturing.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Supply of Our Modifier Gene Therapy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co-development and commercialization agreement with CanSinoBIO with respect to the development and commercialization of our modifier gene therapy platform including OCU400, OCU410 and OCU410ST. CanSinoBIO is responsible for the CMC development and manufacture of clinical supplies of such product candidates and is responsible for the costs associated with such activities. CanSinoBIO has an exclusive license to develop, manufacture, and commercialize our modifier gene therapy platform in and for China, Hong Kong, Macau, and Taiwan (the "CanSinoBIO Territory"), and we maintain exclusive development, manufacturing, and commercialization rights with respect to our modifier gene therapy platform outside the CanSinoBIO Territory (the "Company Territory").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partner with CanSinoBIO for the process development, manufacturing, testing, and release of drug product candidates for use in IND-enabling studies and clinical trials. We perform discovery and analytical development activities in our research and development lab. The partnership with CanSinoBIO enables us in completing manufacturing, with release of clinical trial materials in an expedited manner and helps in mitigating the risk of delay that can be associated when working with highly competitive CDMOs that have long wait times with regard to gene therapy manufacturing. Although we rely on our partnership for manufacturing, we have personnel with extensive experience in gene therapy manufacturing to oversee and guide the process and analytical development, scale-up, release, and stability testing at our partner site. We perform periodic audits of our manufacturing partner to confirm compliance with applicable regulations.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about our partnership with CanSinoBIO, see "—License and Development Agreements—Co-Development and Commercialization Agreement with CanSinoBIO" and see Note 3 in our notes to the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Commercial Supply of NeoCart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completed renovating an existing facility into a current GMP facility in accordance with the FDA's regulations in support of NeoCart manufacturing for Phase 3 clinical trial material. During 2025, we transferred the assets related to our NeoCart product candidate to OrthoCellix.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of Inhaled Mucosal Vaccine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OCU500 was selected by the NIAID Project NextGen for inclusion in clinical trials. Project NextGen is a $5 billion multi-government agency initiative to develop the next generation of vaccines and therapeutics to combat the spread of COVID-19. NIAID, with funding from Project NextGen, will cover the full cost of the clinical trials, including operations and related analysis. We will be responsible for providing clinical trial materials and upon completion will have full right of reference to the findings, which we believe will provide clinical evidence to support the further development of our lead mucosal vaccine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Supply of OCU200</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October 2020, we entered into a manufacturing agreement with a CDMO for the manufacture of OCU200. Under the manufacturing agreement, our CDMO will manage all CMC and clinical manufacturing activities for OCU200. We have completed the technology transfer of manufacturing processes to our CDMO and have produced clinical trial materials to initiate the planned Phase 1 clinical trial. In April 2023, the FDA placed our IND application to initiate a Phase 1 trial targeting DME on clinical hold, as part of the FDA's request for additional information related to CMC.</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DEVELOPMENT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license and development agreements under which we license or co-own patents, patent applications, technical information, and other intellectual property for our product candidates. Certain diligence and financial obligations are tied to these agreements. We consider the following agreements to be material to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Agreement with Kwangdong Pharmaceuticals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entered into a license agreement (“Kwangdong License”) with Kwangdong Pharmaceutical, Ltd ("Kwangdong") for the development and commercialization of the Company's modifier gene therapy product candidate OCU400 in September 2025. Pursuant to the Kwangdong License, Kwangdong has the exclusive right to commercialize and develop OCU400 in South Korea (“Kwangdong Territory”). Kwangdong is responsible for commercialization and regulatory approval in the Kwangdong Territory. The Company retains exclusive right to manufacture for Kwangdong. The Company will also provide additional support services to Kwangdong throughout the term of the agreement to support commercialization.</w:t>
      </w:r>
    </w:p>
    <w:p>
      <w:pPr>
        <w:spacing w:after="0" w:line="19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 accordance with the Kwangdong License, the Company received an initial $0.8 million (net of tax) non-refundable fee and is entitled to additional milestone based fees upon FDA and regulatory approval in the Kwangdong Territory as well as manufacturing based fees upon shipment.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regulatory approval, Kwangdong will lead commercialization efforts, leveraging Ocugen’s clinical data and (BLA) for local regulatory submission.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Novel Modifier Gene Therapy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SERI</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December 2017, we entered into an exclusive license agreement with SERI, which was amended in January 2021 (as amended, the "SERI Agreement"). The SERI Agreement gives us an exclusive, worldwide, sublicensable license to patent rights, biological materials, and technical information for NHR genes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xml:space="preserve">, NR2E3 (OCU400),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(OCU410 and OCU410ST), Nuclear Protein 1, Transcriptional Regulator ("</w:t>
      </w:r>
      <w:r>
        <w:rPr>
          <w:rFonts w:ascii="Times New Roman" w:cs="Times New Roman" w:eastAsia="Times New Roman" w:hAnsi="Times New Roman"/>
          <w:sz w:val="18"/>
          <w:szCs w:val="18"/>
          <w:i w:val="1"/>
          <w:iCs w:val="1"/>
          <w:color w:val="auto"/>
        </w:rPr>
        <w:t>NUPR1</w:t>
      </w:r>
      <w:r>
        <w:rPr>
          <w:rFonts w:ascii="Times New Roman" w:cs="Times New Roman" w:eastAsia="Times New Roman" w:hAnsi="Times New Roman"/>
          <w:sz w:val="18"/>
          <w:szCs w:val="18"/>
          <w:color w:val="auto"/>
        </w:rPr>
        <w:t>"), and Nuclear Receptor Subfamily 2 Group C Member 1 ("</w:t>
      </w:r>
      <w:r>
        <w:rPr>
          <w:rFonts w:ascii="Times New Roman" w:cs="Times New Roman" w:eastAsia="Times New Roman" w:hAnsi="Times New Roman"/>
          <w:sz w:val="18"/>
          <w:szCs w:val="18"/>
          <w:i w:val="1"/>
          <w:iCs w:val="1"/>
          <w:color w:val="auto"/>
        </w:rPr>
        <w:t>NR2C1")</w:t>
      </w:r>
      <w:r>
        <w:rPr>
          <w:rFonts w:ascii="Times New Roman" w:cs="Times New Roman" w:eastAsia="Times New Roman" w:hAnsi="Times New Roman"/>
          <w:sz w:val="18"/>
          <w:szCs w:val="18"/>
          <w:color w:val="auto"/>
        </w:rPr>
        <w:t>. The January 2021 amendment to the SERI Agreement additionally granted us rights in co-owned intellectual property pursuant to certain patent applications and provisional patent applications at the time of the amendment. Under the SERI Agreement, we may make, have made, use, offer to sell, and import licensed products, and must use commercially reasonable efforts to bring one or more licensed products to market as soon as reasonably practicable.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Co-Development and Commercialization Agreement with CanSinoBIO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entered into the CanSinoBIO Agreement with CanSinoBIO with respect to the development and commercialization of our modifier gene therapy product candidates, OCU400, OCU410, and OCU410ST. The CanSinoBIO Agreement was originally entered into in September 2019 with regards to OCU400 and was subsequently amended in September 2021 and November 2022 to include OCU410 and OCU410ST, respectively. Pursuant to the CanSinoBIO Agreement, we are collaborating with CanSinoBIO on the development of our modifier gene therapy platform. CanSinoBIO is responsible for the CMC development and manufacture of clinical supplies of such product candidates and is responsible for the costs associated with such activities. CanSinoBIO has an exclusive license to develop, manufacture, and commercialize our modifier gene therapy platform in and for the CanSinoBIO Territory, and we maintain exclusive development, manufacturing, and commercialization rights with respect to our modifier gene therapy platform in the Company Territory.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CanSinoBIO will pay us an annual royalty between mid- and high-single digits based on Net Sales (as defined in the CanSinoBIO Agreement) of the products included in our modifier gene therapy platform in the CanSinoBIO Territory. We will pay CanSinoBIO an annual royalty between low- and mid-single digits based on Net Sales of the products included in our modifier gene therapy platform in the Company Territory.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NeoCart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Purpose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2005, Histogenics entered into an exclusive agreement (the "Purpose Agreement") to sublicense certain technology from Purpose, which we assumed as a result of our reverse merger with Histogenics. Purpose entered into the original license agreement ("BWH-Purpose Agreement") with Brigham and Women’s Hospital, Inc. ("BWH") in August 2001.</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BWH-Purpose Agreement granted Purpose an exclusive, royalty-bearing, worldwide, sublicensable license, under its rights in licensed patents and patent applications co-owned by BWH and Purpose to make, use, and sell (1) an apparatus for cultivating a cell or tissue, (2) cell or tissue products made using such apparatus, (3) cell or tissue products made using processes for cultivating a cell or tissue as disclosed in the licensed patents and patent applications, and (4) any apparatus that cultivates cells or tissues using such processes, in each case, whose manufacture, use, or sale is covered by a valid claim of the licensed patents and patent applications, only for therapeutic use.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Agreement was amended and restated in June 2012, pursuant to which Purpose granted Histogenics outside of Japan: (a) exclusive rights to all of Purpose's technology (owned or licensed) related to the exogenous tissue processors, which is used in the development of NeoCart, (b) continued supply of exogenous tissue processors, and (c) rights to manufacture the exogenous tissue processors at any location we choose. In exchange for such consideration, Purpose was granted an exclusive license in Japan for the use of all of our NeoCart technology and was reimbursed for development costs on a multi-unit exogenous tissue processor. In May 2016, the Purpose Agreement was amended, whereby Histogenics reacquired the development and commercialization rights to NeoCart in Japan.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Purpose Agreement, as amended, provides us with the ability, worldwide, to (i) use, make, have made, sell, offer for sale, import or otherwise exploit products or services covered by claims of Purpose's patents and (ii) use, reproduce, modify, create derivative works of and otherwise exploit Purpose’s technology for the design, development, manufacture, testing, support, and commercialization of any product or service that incorporates or builds upon Purpose’s technology, in each case, only in connection with articular cartilage, ligaments, tendons, and meniscus. Purpose retains the right to sell its single unit exogenous tissue processer machines to research institutes for general but noncommercial use anywhere in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Vaccines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Washington University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2022, we entered into the WU License Agreement with Washington University, pursuant to which we were granted an exclusive, sublicensable, royalty-bearing license to patent rights for a mucosal COVID-19 vaccine, as well as a license to certain tangible research property and technical information necessary to exploit the patent rights within the United States, Europe, and Japan. In January 2023, we amended the WU License Agreement to add the countries of South Korea, Australia, and China to the Mucosal Vaccine Territory, and in November 2023, we further amended the WU License Agreement to add Hong Kong to the Mucosal Vaccine Territory. In June 2025, we further amended the WU License Agreement to add Canada to the Mucosal Vaccine Territory.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WU License Agreement, we may make, have made, sell, offer for sale, use, market, promote, distribute, export, and import licensed products in the Mucosal Vaccine Territory. We will use commercially reasonable efforts to develop, manufacture, promote, and sell the licensed products in the Mucosal Vaccine Territory.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Washington University maintains control of patent preparation, filing, prosecution, and maintenance. We are responsible for Washington University's out-of-pocket expenses related to the preparation, filing, prosecution, issuance, and maintenance of the licensed patent rights incurred pursuant to the WU License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NIAID Project NextGen Clinical trial support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OCU500 was selected by the NIAID Project NextGen for inclusion in clinical trials. Project NextGen is a $5 billion multi-government agency initiative to develop the next generation of vaccines and therapeutics to combat the spread of COVID-19. NIAID, with funding from Project NextGen, will cover the full cost of the clinical trials, including operations and related analysis. We will be responsible for providing clinical trial materials and upon completion will have full right of reference to the findings, which we believe will provide clinical evidence to support the further development of our lead mucosal vaccine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Novel Biologic Therapy for Retinal Diseases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the University of Colorado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2014, we entered into an exclusive license agreement with CU, which was amended in January 2017 and clarified by a letter of understanding in November 2017 (as amended and clarified, the "CU Agreement"). The CU Agreement gives us an exclusive, worldwide, sublicensable license to patents for OCU200 to make, have made, use, import, offer to sell, sell, have sold, and practice the licensed products in all therapeutic applications. Under the CU Agreement, we must use commercially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reasonable efforts to develop, manufacture, sublicense, market, and sell the licensed products and have assumed primary responsibility for preparing, filing, and prosecuting broad patent claims for OCU200 for CU's benefit. Further, we have assumed primary responsibility for all patent activities, including all costs associated with the prosecution and maintenance of the patents for OCU200.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technologies and intellectual products. We have applied, obtained, and licensed patent protection for our product candidates. We intend to maintain and defend our intellectual property rights to protect our technology, inventions, processes, and improvements that are commercially important to the development of our business. There is no guarantee that any of our current or future intellectual property will advance the commercial success of our product candidates. There is also no guarantee patents will be issued or registered for any pending patent applications or patent applications that we may file in the future. Our commercial success also depends in part on our non-infringement of the patents and proprietary rights of third parties.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February 24, 2026, our patent portfolio for our product candidates included a total of 24 issued patents in the United States, 56 issued or registered patents in foreign countries, 9 pending patent applications in the United States, and 57 pending patent applications in foreign countries. Our issued or registered patents and pending patent applications include those licensed from SERI, Purpose and CU. Certain issued patents and pending patent applications cover multiple of our product candidates. Our intellectual property includes compositions of matter, methods of use, product candidates, and other proprietary technology. As of February 24, 2026, we had exclusive rights or owned rights to: (i) two issued United States patents, one pending United States patent applications, and one pending foreign patent applications related to OCU400; (ii) one pending United States patent applications, and three pending foreign patent applications related to OCU410 and OCU410ST; (iii) 15 issued United States patents; six pending United States patent applications, 20 issued or registered foreign patents, and nine pending foreign patent applications related to NeoCart; (iv) two pending United States patent applications and seven pending foreign patent applications related to OCU500, OCU510 and OCU520; and (v) one issued United States patent and 25 issued or registered foreign patents related to OCU200. Our current portfolio of issued patents in the United States and issued or registered patents in foreign countries related to our product candidates expire between 2025 and 2038.</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instances, we may need to license additional patents and trade secrets to commercialize our product candidates in certain territories. In addition to patents, we may rely, in some circumstances, on trade secrets to protect our technology. We seek to protect our proprietary technology and processes, and obtain and maintain ownership of certain technologies, in part, by confidentiality and invention assignment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including Canada, extensively regulate, among other things, the research, development, testing, approval, manufacture, packaging, storage, recordkeeping, monitoring and reporting, labeling, advertising, promotion, distribution, marketing, sales, import, and export of biotechnological and drug products such as those we are developing. In addition, labelers of marketed biotechnology and drug products (the entity owning the National Drug Code listed for a marketed product) participating in Medicaid and Medicare are required to comply with mandatory price reporting, discounts, rebates, and other requirements. The processes for obtaining regulatory approvals in the United States and in other countries including Canada, along with compliance with applicable statutes and regulations, require the expenditure of substantial time and financial resources.</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guidances, and policies are often revised or reinterpreted by the agency in ways that may significantly affect the manner in which pharmaceutical products are regulated and marketed.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Regulation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the FDA regulates biologics and drug products under the Federal Food, Drug, and Cosmetic Act ("FDCA") and its implementing regulations. In addition, biological products are regulated under the Public Health Service Act ("PHSA") and its implementing regulations. The process required by the FDA before product candidates may be marketed in the United States generally involves the following: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("GLP") regulations, applicable requirements for the human use of laboratory animals, such as the Animal Welfare Act ("AWA"), or other applicable regulations;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 at United States clinical trial sites;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for each clinical site, or centrally, before a clinical trial may be initiated at that site;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in the case of a drug product candidate, or safety, purity, and potency, in the case of a biological product candidate, for its intended use, performed in accordance with Good Clinical Practice ("GCP") and additional requirements for the protection of human research subjects and their health information;</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manufacturing processes to ensure the product candidate's identity, strength, quality, purity, and potency in compliance with current GMP;</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in the case of a drug product candidate, or a BLA, in the case of a biological product candidate, including results of preclinical testing, detailed information about the CMC, and proposed labeling and packaging for the product candidate;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products are produced to assess compliance with current GMP, and to assure that the facilities, methods, and controls are adequate to preserve the therapeutics' identity, strength, quality, purity, and potency as well as satisfactory completion of an FDA inspection of selected clinical sites, selected clinical investigators to determine GCP compliance, and payment of user fees; and</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licensure of a BLA, to permit commercial marketing for particular indications for use, including agreement on post-marketing commitments, if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IND Submission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and approval process of product candidates requires substantial time, effort, and financial resources. Satisfaction of FDA pre-market approval requirements typically takes many years, and the actual time required may vary substantially based upon the type, complexity, and novelty of the product or disease. Preclinical studies include laboratory evaluation of chemistry, pharmacology, toxicity, and product formulation, as well as animal studies to assess potential safety and efficacy. Such studies must generally be conducted in accordance with GLP, the AWA, and other applicable regulations and requirements. Prior to commencing the first clinical trial at a United States investigational site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submission. Some preclinical studies may continue even after the IND is in effect.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IND application becomes effective 30 days after receipt by the FDA, unless the FDA, within the 30-day time period, notifies the applicant of safety concerns or questions related to one or more proposed clinical trials and places the trial on a clinical hold. In such a case, the IND sponsor and the FDA must resolve any outstanding concerns before the clinical trial may begin. A separate submission to an existing IND application must also be made for each successive clinical trial conducted during product development.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(healthy volunteers or patients) under the supervision of qualified investigators. Clinical trials must be conducted in accordance with federal regulations and GCP requirements, which include the requirements that all research subjects provide their informed consent in writing for their participation in any clinical trial, as well as the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submission. If a product candidate is being investigated for multiple intended indications, separate IND applications may also be required. In addition, an IRB at each study site participating in the clinical trial and/or a central IRB must review and approve the plan for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clinical trial, informed consent forms, and communications to study subjects before a study commences at that site. An IRB is charged with protecting the welfare and rights of trial participants, and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Progress reports detailing the results of the clinical trials must also be submitted at least annually to the FDA and the IRB and more frequently if SAEs or other significant safety information is found.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Sponsors are required to submit periodic progress reports and safety reports to FDA throughout the clinical development program. Phase 1, Phase 2, and Phase 3 clinical trials may not be completed successfully within any specified period, if at all.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If the FDA issues a clinical hold halting a clinical trial, the agency must notify the IND sponsor of the grounds for the hold. Any identified deficiencies must be resolved before the FDA will lift the hold and allow the clinical trial to begin or resume. There is no guarantee the FDA will ever lift a clinical hold once put in place.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and biologics for the conduct of human clinical trials is subject to current GMP requirements. Investigational drugs, biologics, active ingredients, and therapeutic substances imported into the United States are also subject to regulation by the FDA. Further, the export of investigational products outside of the United States is subject to regulatory requirements of the receiving country, as well as the United States export requirements under the FDCA.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general, for purposes of NDA and BLA approval, human clinical trials are typically conducted in three sequential phases, which may overlap or be combined.</w:t>
      </w:r>
    </w:p>
    <w:p>
      <w:pPr>
        <w:spacing w:after="0" w:line="52" w:lineRule="exact"/>
        <w:rPr>
          <w:sz w:val="20"/>
          <w:szCs w:val="20"/>
          <w:color w:val="auto"/>
        </w:rPr>
      </w:pPr>
    </w:p>
    <w:p>
      <w:pPr>
        <w:jc w:val="both"/>
        <w:ind w:left="660" w:hanging="328"/>
        <w:spacing w:after="0" w:line="26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Studies are initially conducted in a small group of healthy human volunteers or subjects (e.g., 10 to 20 subjects) to test the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 for safety, dosage tolerance, structure-activity relationships, mechanism of action, absorption, metabolism, distribution, and excretion. If possible, Phase 1 trials may also be used to gain an initial indication of product effectiveness.</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Controlled studies are conducted in larger but still limited subject populations with a specified disease or condition 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efficacy, identify optimal dosages, dosage tolerance and schedule, possible adverse effects and safety risks, and expanded evidence of safety.</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 </w:t>
      </w:r>
      <w:r>
        <w:rPr>
          <w:rFonts w:ascii="Times New Roman" w:cs="Times New Roman" w:eastAsia="Times New Roman" w:hAnsi="Times New Roman"/>
          <w:sz w:val="18"/>
          <w:szCs w:val="18"/>
          <w:color w:val="auto"/>
        </w:rPr>
        <w:t>These adequate and well-controlled clinical trials are undertaken in expanded subject populations (e.g., several hundred to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 patients), generally at geographically dispersed clinical trial sites, to generate enough data to provide statistically significant evidence of clinical efficacy and safety of the product candidate for approval, to establish the overall risk-benefit profile of the product candidate, and to provide adequate information for the labeling of the product candidate. Typically, two Phase 3 trials are required by the FDA for product approval. Under some limited circumstances, however, the FDA may approve an NDA or BLA based upon a single Phase 3 clinical study.</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also require, or companies may conduct, additional clinical trials for the same indication after a product is approved. These are referred to as Phase 4 studies and may be made a condition to be satisfied after approval. The results of Phase 4 studies can confirm or refute the effectiveness of a product candidate and can provide important long-term safety information.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current GMP requirements. The manufacturing process must be capable of consistently producing quality batches of the product candidate and, among other things, manufacturers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Application Submission, Review by the FDA, and Marketing Approval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the results of product development, including CMC, non-clinical studies, and clinical trial results, including negative or ambiguous results, as well as positive findings, are all submitted to the FDA, along with the proposed labeling, as part of an NDA, in the case of a drug, or BLA, in the case of a biologic, requesting approval to market the product for one or more indications. In most cases, the submission of a marketing application is subject to a substantial application user fee.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under the Pediatric Research Equity Act ("PREA"), a BLA or NDA or supplement to a BLA or NDA for a new active ingredient, indication, dosage form, dosage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the approval of the product for use in adults, or full or partial waivers from the pediatric data requirements. Orphan products are also exempt from the PREA requirements.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("REMS") to ensure that the benefits of the product candidate outweigh the risks. Following product approval, a REMS may also be required by the FDA if new safety information is discovered and the FDA determines that a REMS is necessary to ensure that the benefits of the product continue to outweigh the risks. Any of these limitations on approval or marketing could restrict the commercial promotion, distribution, prescription, or dispensing of products.</w:t>
      </w:r>
    </w:p>
    <w:p>
      <w:pPr>
        <w:spacing w:after="0" w:line="19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Once the FDA receives an application, it generally takes 60 days to review the NDA or BLA (collectively, the "marketing application") to determine if it is substantially complete to permit a substantive review, before it accepts the application for filing. The FDA may refuse to review any application that it deems incomplete or not properly reviewable at the time of submission and may request additional information. If the submission is accepted for filing, the FDA begins an in-depth review of the marketing application. Under the goals and policies agreed to by the FDA under the Prescription Drug User Fee Act ("PDUFA"), the FDA aims to complete its initial review of a marketing application and respond to the applicant within 10 months from the filing date for a standard marketing application, and within six months from the filing date for a priority marketing application. The FDA does not always meet its PDUFA goal dates for standard and priority marketing applications, and the review process is often significantly extended by FDA requests for additional information or clarification.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also refer certain applications to an advisory committee. Before approving a product candidate for which no active ingredient (including any ester or salt of an active ingredient) has previously been approved by the FDA, the FDA must either refer that product candidate to an external advisory committee or provide in an action letter a summary of the reasons why the FDA did not refer the product candidate to an advisory committee. The FDA is not bound by the recommendations of an advisory committee, but it considers such recommendations carefully when making decisions.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candidate meets the agency's approval standards and whether the manufacturing methods and controls are adequate to assure and preserve the product's identity, strength, quality, potency, and purity. Before approving a marketing application,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current GMP requirements and are adequate to assure consistent production of the product within required specifications. Additionally, before approving a marketing application, the FDA will inspect one or more clinical trial sites to assure compliance with GCP. To assure current GMP and GCP compliance, an applicant will incur significant expenditure of time, money, and effort in the areas of training, recordkeeping, production, and quality control.</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evaluating the marketing application and all related information, including the advisory committee recommendation, if any, and inspection reports regarding the manufacturing facilities and clinical trial sites, the FDA may issue an approval letter, or, in some cases, a Complete Response Letter ("CRL"). A CRL indicates that the review cycle for the application is complete and the application is not ready for approval. It also describes all of the specific deficiencies that the FDA identified. A CRL generally contains a statement of specific conditions that must be met in order to secure final approval of the marketing application and may require additional clinical or preclinical testing in order for the FDA to reconsider the application. If a CRL is issued, the applicant may either: resubmit the marketing application addressing all of the deficiencies identified in the letter; withdraw the application; or request an opportunity for a hearing.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or populations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Pediatric exclusivity is one type of non-patent marketing exclusivity in the United States and, if granted, provides for the attachment of an additional six months of marketing protection to the term of any existing regulatory exclusivity and patent periods.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 on the requested studies within the statutory timeframe.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Products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Orphan Drug Act provides incentives for the development of products for rare diseases or conditions. Specifically, sponsors may apply for and receive ODD if a product candidate is intended to treat rare diseases or conditions, which generally are diseases or conditions affecting less than 0.2 million individuals in the United States, or affecting more than 0.2 million individuals in the United States and for which there is no reasonable expectation that the cost of developing and making the product available in the United States will be recovered from the United States sales. ODD must be requested before submitting an NDA or BLA. Additionally, sponsors must present a plausible hypothesis for clinical superiority to obtain ODD if there is a product already approved by the FDA that is considered by the FDA to be the same and is intended for the same indication. This hypothesis must be demonstrated to obtain ODD exclusivity. If granted, ODD entitles a party to certain pre-approval financial incentives such as opportunities for grant funding towards clinical study costs, tax advantages, and certain user-fee waivers. After the FDA grants ODD, the generic identity of the drug and its potential orphan use are disclosed publicly by the FDA. ODD does not convey any advantage in, or shorten the duration of, the regulatory review and approval process. The first NDA or BLA applicant to receive FDA approval for a particular active moiety to treat a particular disease with ODD generally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Orphan drug exclusivity does not prevent the FDA from approving a different drug for the same disease or condition, or the same drug for a different disease or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 and Regulatory Data Exclusivity</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United States and elsewhere, certain regulatory exclusivities and patent rights can provide an approved drug product with protection from certain competitors' products for a period of time and within a certain scope. If approved, drug and biologic products may also be eligible for periods of the United States patent term restoration. If granted, patent term restoration extends the patent life of a single unexpired patent, that has not previously been extended, for a maximum of five years. The total patent life of the product with the extension also cannot exceed 14 years from the product's approval date. Subject to prior limitations, the period of extension is calculated by adding half of the time from the effective date of an IND application to the initial submission of a marketing application, and all of the time between the submission of the marketing application and its approval. This period may also be reduced by any time that the applicant did not act with due diligence. Only one patent claiming each approved product is eligible for restoration and the patent holder must apply for restoration within 60 days of approval. The United States Patent and Trademark Office ("USPTO"), in consultation with the FDA, reviews and approves the application for patent term restoration.</w:t>
      </w:r>
    </w:p>
    <w:p>
      <w:pPr>
        <w:spacing w:after="0" w:line="2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under the PHSA, innovator biological products, or reference products, are entitled to 12 years of exclusivity. The FDA must wait four years after licensure of a biologic product under a BLA before accepting a filing for a biosimilar version of the reference product, and the FDA cannot approve a biosimilar version of the reference product until 12 years after the reference product was approved under a BLA.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FDA Expedited Review and Approval Programs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has various programs that are intended to expedite or simplify the process for the development and FDA review of certain product candidates that are intended for the treatment of serious or life-threatening diseases or conditions and demonstrate the potential to address unmet medical needs or present a significant improvement over existing therapy. The purpose of these programs is to provide important new therapeutics to patients earlier than under standard FDA review procedures. These expedited programs include fast track designation, breakthrough therapy designation, priority review, accelerated approval, and RMAT designation. Each of these programs has its own features and qualifying criteria. A sponsor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submit a request for fast track designation, breakthrough therapy designation, or priority review, which may or may not be granted by the FDA.</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candidate is intended to treat a serious or life threatening disease or condition and demonstrates the potential to address an unmet medical need. If fast track designation is obtained, sponsors may be eligible for more frequent development meetings and correspondence with the FDA. In addition, the FDA may initiate review of sections of an application before the application is complete. This "rolling review" is available if the applicant provides and the FDA approves a schedule for the remaining information.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be eligible for breakthrough therapy designation, the FDA must determine, based on the request of the sponsor, that a product candidate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eligible for intensive guidance on an efficient development program beginning as early as Phase 1 trials, a commitment from the FDA to involve senior managers and experienced review staff in a proactive collaborative and cross-disciplinary review, rolling review, and the facilitation of cross-disciplinary review.</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Established under the 21st Century Cures Act, RMAT designation is a dedicated program designed to expedite the drug development and review processes for promising regenerative medicine products, including genetic therapies. A regenerative medicine advanced therapy is eligible for RMAT designation if it is intended to treat, modify, reverse, or cure a serious or life threatening disease or condition, and preliminary clinical evidence indicates that the drug or therapy has the potential to address unmet medical needs for such disease or condition. Similar to breakthrough therapy designation, RMAT designation provides the benefits of intensive FDA guidance on efficient drug development, including the ability for early interactions with FDA to discuss surrogate or intermediate endpoints, potential ways to support accelerated approval and satisfy post-approval requirements, potential priority review of a BLA, and other opportunities to expedite development and review.</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give a priority review designation to product candidates that are intended to treat serious conditions and, if approved, would provide significant improvements in the safety or effectiveness of the treatment, diagnosis, or prevention of the serious condition. A priority review means that the goal for the FDA is to review an application within six months from the filing date, rather than the standard review of 10 months under current PDUFA guidelines.</w:t>
      </w:r>
    </w:p>
    <w:p>
      <w:pPr>
        <w:spacing w:after="0" w:line="19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Drug or biological products studied for their safety and effectiveness in treating serious or life-threatening illnesses and that provide meaningful therapeutic benefit over existing treatments may be developed and approved under the accelerated approval pathway, which means the FDA may approve the product candidate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or biologic candidate approved under the accelerated approval pathway is generally subject to rigorous post-marketing compliance requirements, including the completion of Phase 4 or post-approval clinical trials to confirm the effect of the product. Under the Food and Drug Omnibus Reform Act of 2022 ("FDORA"), the FDA is permitted to require, as appropriate, that confirmatory trials be underway prior to approval or within a specific time period after the date of approval for a product granted accelerated approval. Further, under FDORA, the FDA has increased authority for expedited procedures to withdraw the accelerated approval of a drug or biologic if, for example, the confirmatory trial fails to verify the predicted clinical benefit of the product.</w:t>
      </w: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Even if a drug or biological product qualifies for one or more of these programs, the FDA may later decide that such product no longer meets the qualification criteria, and therefore, that the sponsor is no longer eligible for the program benefits, including the benefit of a shortened time period for FDA review or approval. Additionally, fast track designation, priority review, accelerated approval, breakthrough therapy designation, and RMAT designation do not change the standards for approval and do not necessarily shorten the overall time it takes a sponsor to obtain FDA approval or the costs of obtaining it.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products manufactured or distributed pursuant to FDA approvals are subject to extensive and continuing regulation by the FDA, including, among other things, requirements related to manufacturing, recordkeeping, and reporting, including adverse experience reporting, deviation reporting, shortage reporting, and periodic reporting, product sampling and distribution, advertising, marketing, promotion, certain electronic records and signatures, and post-approval obligations imposed as a condition of approval, such as Phase 4 clinical trials, REMS, and surveillance to assess safety and effectiveness after commercialization.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Future FDA inspections may identify current GMP compliance issues at manufacturing facilities or at the facilities of third-party suppliers that may disrupt production or distribution or require substantial resources to correct and prevent recurrence of any deficiencies and could result in fines or penalties by regulatory authorities.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FDA review and approval. There also are continuing annual program user fee requirements for approved products, excluding orphan products. In addition, manufacturers and other entities involved in the manufacture and distribution of approved therapeutics are required to register their establishments with the FDA and certain state agencies, list their products, and are subject to periodic announced and unannounced inspections by the FDA and these state agencies for compliance with current GMP and other requirements. Regulatory authorities may undertake regulatory enforcement action, withdraw product approvals, require label modifications, or request product recalls, among other actions, if a company fails to comply with regulatory standards, if it encounters problems following initial marketing, or if previously unrecognized problems are subsequently discovered.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FDA approval or notification before being implemented. FDA regulations also require investigation and correction of any deviations from current GMP and specifications, and impose reporting and documentation requirements upon the sponsor and any third-party manufacturers that the sponsor may decide to use.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also strictly regulates marketing, labeling, advertising, and promotion of products that are placed on the market. Physicians, in their independent professional medical judgment, may prescribe legally available products for unapproved indications that are not described in the product's labeling and that differ from those tested and approved by the FDA. Drug and biological product companies, however, are required to promote their products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("FCA"), exclusion from participation in federal healthcare programs, mandatory compliance programs under corporate integrity agreements, suspension and debarment from government contracts, and refusal of orders under existing government contracts. In addition, newly discovered or developed safety or efficacy data may require changes to a product's approved labeling, including the addition of new warnings and contraindications.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drug and biological products is subject to the Prescription Drug Marketing Act ("PDMA"), which regulates the distribution of samples at the federal level. Both the PDMA and state laws limit the distribution of prescription drug and biological product samples and impose requirements to ensure accountability in distribution. Free trial or starter prescriptions provided through pharmacies are also subject to regulations under the Medicaid Drug Rebate Program ("MDRP") and potential liability under anti-kickback and false claims laws.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the Drug Supply Chain Security Act imposes obligations on sponsors of drug and biological products related to product tracking and tracing. Among the requirements of this legislation, sponsors are required to provide certain information regarding the products to individuals and entities to which product ownership is transferred, are required to label products with a product identifier, and are required to keep certain records regarding the product.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or approval suspension or revocation, imposition of a clinical hold or termination of clinical trials, warning letters, untitled letters, Form FDA 483s,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suspension and debarment from government contracts, refusal of orders under existing government contracts, exclusion from participation in federal and state healthcare programs, restitution, disgorgement, civil or criminal penalties including fines and imprisonment, and adverse publicity, among other adverse consequences.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controls for biologics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through biological products, the PHSA emphasizes the importance of manufacturing controls for products whose attributes cannot be precisely defined. The PHSA also provides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to FDA a release protocol showing the results of all of the manufacturer's tests performed on the lot, and if required, samples of each lot of the product.</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to the regulations discussed above, there are a number of additional standards that apply to clinical trials involving the use of gene therapy. The FDA has issued various guidance documents regarding gene therapies, which outline additional factors that the FDA will consider during product development that relate to, among other things: the proper preclinical assessment of gene therapies; the CMC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recommends that sponsors observe subjects for potential gene therapy-related delayed adverse events for a prolonged period of time.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Fraud and Abuse, Data Privacy and Security, and Transparency Laws and Regulations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activities, including but not limited to, research, marketing, sales, promotion, distribution, medical education, and other activities following product approval are subject to laws and regulations by numerous federal and state regulatory and law enforcement authorities in the United States in addition to the FDA, including potentially the Department of Justice, the Department of Health and Human Services and its various divisions, including the Centers for Medicare and Medicaid Services ("CMS") and the Health Resources and Services Administration, the Department of Veterans Affairs, the Department of Defense, and state and local governments. Our business activities must comply with numerous healthcare laws, including but not limited to, the federal civil FCA, the federal Anti-Kickback statue, and other laws and regulations as well as data privacy and security laws and regulations, which are described below, as well as state and federal consumer protection and unfair competition laws. Moreover, to the extent that we license the right to sell our product, if approved, to another entity under that entity's labeler code, the licensee would have regulatory responsibilities, including healthcare, reimbursement, pricing, and reporting regulatory responsibilities.</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or order, or the referral to another for the furnishing or arranging of any item or service reimbursable under Medicare, Medicaid, or other federal healthcare programs, in whole or in part. The term "remuneration" has been interpreted broadly to include anything of value. The Anti-Kickback Statute has been interpreted to apply to arrangements between biotechnological industry members on one hand and prescribers, purchasers, formulary managers, and beneficiaries on the other. Several courts have interpreted the statute's intent requirement to mean that if any one purpose of an arrangement involving remuneration is to induce referrals of a federal healthcare covered business, including purchases of products paid by federal healthcare programs, the statute has been violated. A violation of the Anti-Kickback Statute may be established without proving actual knowledge of the statute or specific intent to violate it. The government or a whistleblower may assert that a claim for payment of items or services resulting from a violation of the Anti-Kickback Statute constitutes a false or fraudulent claim for purposes of the federal civil FCA. Although there are a number of statutory exemptions and regulatory safe harbors to the federal Anti-Kickback Statute protecting certain common business arrangements and activities from prosecution or regulatory sanctions, the exemptions and safe harbors are drawn narrowly. Practices that involve remuneration to those who prescribe, purchase, or recommend pharmaceutical and biological products, including certain discounts, or engaging such individuals as consultants, advisors, or speakers, may be subject to scrutiny if they do not fit squarely within an exemption or safe harbor. Our practices may not in all cases meet all of the criteria for safe harbor protection from anti-kickback liability. Moreover, there are no safe harbors for many common practices, such as educational and research grants, charitable donations, product support and patient assistance.</w:t>
      </w:r>
    </w:p>
    <w:p>
      <w:pPr>
        <w:spacing w:after="0" w:line="21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federal civil FCA prohibits, among other things, any person or entity from knowingly presenting, or causing to be presented, a false or fraudulent claim for payment of federal funds, knowingly making, using, or causing to be made or used a false record or statement material to a false or fraudulent claim to the federal government, or avoiding, decreasing, or concealing an obligation to pay money to the federal government. Actions under the FCA may be brought by the federal government or as a qui tam action by a private individual in the name of the government. Many pharmaceutical manufacturers have been investigated and have reached substantial financial settlements with the federal government under the civil FCA for a variety of alleged improper activities. The government may deem companies to have "caused" the submission of false or fraudulent claims by, for example, providing inaccurate billing or coding information to customers or promoting a product off-label. The civil FCA provides for treble damages and a civil penalty for each false claim, such as an invoice or pharmacy claim for reimbursement, which can aggregate into millions of dollars, and potential exclusion from federal health care programs.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is another statute under which biotechnological companies may be subject to enforcement. Among other things, the civil monetary penalties statue imposes fines against any person who is determined to have knowingly presented, or caused to be presented, claims to a federal healthcare program that the person knows, or should know, is for an item or service that was not provided as claimed or is false or fraudulent.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prohibits, among other actions, knowingly and willfully executing, or attempting to execute, a scheme to defraud any healthcare benefit program, including private third-party payors, and knowingly and willfully falsifying, concealing, or covering up a material fact or making any materially false statements or representations in connection with the delivery of, or payment for, healthcare benefits, items, or services relating to healthcare matters. The government need not establish actual knowledge of the statute, or the specific intent in order to prove a violation.</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federal Physician Payment Sunshine Act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and certain other HCPs (such as physicians assistants and nurse practitioners), and ownership and investment interests held by physicians and their immediate family members, with the reported information made public on a searchable website.</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Payment or reimbursement of prescription therapeutics by Medicaid or Medicare requires the product's labeler to submit certified pricing information to CMS. The Medicaid Drug Rebate statute requires labelers, as a condition of payment by Medicaid, to calculate and report price points, which are used to determine Medicaid rebate payments shared between the states and the federal government and Medicaid payment rates for certain therapeutics, to pay quarterly rebates on prescriptions paid by Medicaid, and to provide a discount based on the Medicaid rebate percentage to certain hospitals and clinics under the 340B program. For most therapeutics paid under Medicare Part B, labelers must also calculate and report their Average Sales Price, which is used to determine the Medicare Part B payment rate. In addition, therapeutics covered by Medicaid are subject to an additional inflation penalty which can substantially increase rebate payments. For products approved under a BLA (including biosimilars) or an NDA, the Veterans Health Care Act ("VHCA") requires labelers, as a condition of payment by Medicaid, to calculate and report to the Veterans Administration a different price called the Non-Federal AMP, which is used to determine the maximum price that can be charged to certain federal agencies, referred to as the Federal Ceiling Price ("FCP"). Like the Medicaid rebate amount, the FCP includes an inflation penalty. A Department of Defense statute and regulation requires labelers to provide this discount on therapeutics dispensed by retail pharmacies when paid by the TRICARE Program, the health care program for military personnel, retirees, and related beneficiaries. All of these price reporting requirements create risk of submitting false information to the government, and potential FCA liability.</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VHCA also requires labelers of covered therapeutics participating in the Medicaid program to enter into Federal Supply Schedule contracts with the VA through which their covered therapeutics must be sold to certain federal agencies at FCP. This necessitates compliance with applicable federal procurement laws and regulations, including submission of commercial sales and pricing information, and subjects us to contractual remedies as well as administrative, civil, and criminal sanctions. In addition, the VHCA requires labelers participating in Medicaid to agree to provide different mandatory discounts to certain Public Health Service grantees and other safety net hospitals and clinics under the 340B program based on the labelers' reported Medicaid pricing information. The 340B program has its own regulatory authority to impose sanctions for non-compliance and adjudicate overcharge claims against labelers by the purchasing entities.</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Further, we may be subject to data privacy and security regulation by both the federal government and the states in which we conduct our business. HIPAA, as amended by the Health Information Technology for Economic and Clinical Health Act and its respective implementing regulations imposes certain requirements on covered entities and their business associates – certain persons or entities that create, receive, maintain, or transmit protected health information in connection with providing a specified service or performing a function on behalf of a covered entity. In addition, other federal and state laws may govern the privacy and security of health and other information in certain circumstances. For example, state data breach notification laws, state health information and/or genetic privacy laws, and federal and state consumer protection and consumer privacy laws (such as Section 5 of the Federal Trade Commission Act (the "FTC Act") and the California Consumer Privacy Act, as amended by the California Privacy Rights Act (the "CCPA")) and other similar states laws differ from each other in significant ways, thus complicating compliance efforts. Any failure by us or any of our third-party service providers to follow such laws could result in significant liability or reputational harm under such state and federal privacy and other laws. The landscape of federal and state laws regulating personal data is constantly evolving, and compliance with these laws requires a flexible privacy framework and substantial resources, and compliance efforts will likely be an increasing and substantial cost in the future.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Outside the United States, our operations may implicate international data protection laws, including the EU General Data Protection Regulation 2016/679 ("EU GDPR"). The EU GDPR and the EU GDPR as incorporated into the laws of the United Kingdom ("UK GDPR," together with the EU GDPR, "GDPR") impose strict obligations and restrictions on the ability to collect, analyze, and transfer personal data, including health data and samples from clinical trials and adverse event reporting. For example, these obligations and restrictions may concern obtaining explicit consent of the individuals to whom the personal data relate, providing transparency notices to individuals, sharing personal data with third parties, transferring personal data out of the EU, reporting personal data breaches with data protection authorities and affected individuals, and ensuring the security and confidentiality of personal data. Violations of EU data protection laws may result in significant financial penalties (including possible fines of up to 4% of global annual turnover for the preceding financial year or €20 million (or €17.5 million in the UK) whichever is higher). The EU GDPR also confers a private right of action on data subjects and consumer associations to lodge complaints with data protection authorities, seek judicial remedies, and obtain compensation for damages resulting from violations of the EU GDPR. These privacy and data protection laws and regulations increase our responsibility and liability in relation to personal data that we process, and compliance has been and is expected to continue to be difficult, constantly evolving, costly and time consuming.</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as a result of the broad scale release and availability of Artificial Intelligence (AI) technologies such as generative AI, there is a global trend towards more regulation (e.g., the EU AI Act and AI laws passed in states of the United States) to ensure the ethical use, privacy, and security of AI and the data that it processes. Compliance with such laws will likely be an increasing and substantial cost in the future.</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Many states have also adopted laws similar to certain of the above federal laws, which may be broader in scope and apply to items or services reimbursed by any third-party payor, including commercial insurers. Certain state laws also regulate sponsors' use of prescriber-identifiable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companies to track and report information related to payments, gifts, and other items of value to physicians and other healthcare providers. Other state laws and local ordinances require identification or licensing of sales representatives.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Recently, states have enacted or are considering legislation intended to make drug prices more transparent and deter significant price increases, typically as consumer protection laws. These laws may affect our future sales, marketing, and other promotional activities by imposing administrative and compliance burdens.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or regulations described above or any other applicable laws, we may be subject to penalties or other enforcement actions, including significant criminal, civil, and/or administrative monetary penalties, damages, fines, disgorgement, imprisonment, exclusion from participation in government healthcare programs, corporate integrity agreements, suspension and debarment from government contracts, and refusal of orders under existing government contracts, reputational harm, diminished profits and future earnings, and the curtailment or restructuring of our operations, any of which could adversely affect our ability to operate our business and our results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third-party payors provide coverage for and establish adequate reimbursement levels for our product candidates. Government authorities, private health insurers, and other organizations generally decide which therapeutics they will pay for and establish reimbursement levels for healthcare. Medicare is a federally funded program managed by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restrict coverage to therapeutics on the state Preferred Drug List. Similarly, government laws and regulations establish the parameters for coverage of prescription therapeutics by health plans participating in state exchanges and TRICARE. Some states have also created pharmacy assistance programs for individuals who do not qualify for federal programs. In the United States, private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health insurers and other third-party payors often provide reimbursement for products and services based on the level at which the government provides reimbursement through the Medicare or Medicaid programs for such products and services.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 EU, and other potentially significant markets for our product candidates, government authorities and third-party payors are increasingly attempting to limit or regulate the price of medical products and services, particularly for new and innovative products and therapies, which often has resulted in average selling prices lower than they would otherwise be and sometimes at or below the provider's acquisition cost. In the United States, it is also common for government and private health plans to use coverage determinations to leverage rebates from labelers in order to reduce the plans' net costs. These restrictions and limitations influence the purchase of healthcare services and products and lower the realization on labelers' sales of prescription therapeutics. Third-party payors are developing increasingly sophisticated methods of controlling healthcare costs. Third-party payors may limit coverage to specific therapeutic products on an approved list, or formulary, which might not include all of the FDA approved products for a particular indication or might impose high copayment amounts to influence patient choice. Third-party payors also control costs by requiring prior authorization or imposing other dispensing restrictions before covering certain products and by broadening therapeutic classes to increase competition. Third-party payors are increasingly challenging the price and examining the medical necessity and cost-effectiveness of medical products and services, in addition to their safety and efficacy. Absent clinical differentiators, third-party payors may treat products as therapeutically equivalent and base formulary decisions on net cost. To lower the prescription cost, labelers frequently rebate a portion of the prescription price to the third-party payors. Recently, purchasers and third-party payors have begun to focus on value of new therapeutics and sought agreements in which price is based on achievement of performance metrics.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Private payors often rely on the lead of the governmental payors in rendering coverage and reimbursement determinations. Therefore, achieving favorable Medicare coverage and reimbursement is usually a significant gating issue for successful introduction of a new product. In addition, many government programs as a condition of participation mandate fixed discounts or rebates from labelers regardless of formulary position or utilization, and then rely on competition in the market to attain further price reductions, which can greatly reduce realization on the sale.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the increased emphasis on managed healthcare in the United States and on country and regional pricing and reimbursement controls in the EU will put additional pressure on product pricing, reimbursement, and utilization, which may adversely affect our future product sales and results of operations. These pressures can arise from rules and practices of managed care groups, competition within therapeutic classes, judicial decisions and governmental laws and regulations related to Medicare, Medicaid, and healthcare reform, biotechnological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internationally, on the extent to which the costs of our product candidates, if approved,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above, we may need to conduct expensive pharmacoeconomic studies in order to demonstrate the medical necessity and cost-effectiveness of our product candidates, if approved, in addition to the costs required to obtain FDA approvals. Our product candidates may not be considered medically necessary or cost-effective, or the rebate percentages required to secure coverage may not yield an adequate margin over cost. Additionally, companies are increasingly finding it necessary to establish bridge programs to assist patients with access to new therapies during protracted initial coverage determination periods.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a payor's decision to provide coverage for a product does not imply that an adequate reimbursement rate will be approved or that significant price concessions will not be required to avoid restrictive conditions. High health plan copayment requirements may result in patients refusing prescriptions or seeking alternative therapies. Additionally, where a new indication has been approved for a drug or biologic previously approved under a different NDA or BLA, health plans may cover off-label use of the original drug, even if it cannot be marketed for the new indication. Adequate third-party reimbursement may not be available to enable us to maintain price levels sufficient to realize an appropriate return on our investment in therapeutic development. Legislative action to reform healthcare or reduce costs under government insurance programs may result in lower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Congress has considered reductions in Medicare reimbursement levels for products administered by physicians. CMS, the agency that administers the Medicare and Medicaid programs, also has authority to revise reimbursement rates and to implement coverage restrictions for some products.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manufacturers, and impose additional health policy reforms. Among other things, the ACA expanded manufacturers' rebate liability under the MDRP by increasing the minimum Medicaid rebate for both branded and generic products, expanded the 340B program, and revised the definition of AMP, which could increase the amount of Medicaid rebates manufacturers are required to pay to states. The legislation also extended Medicaid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products. CMS has issued final regulations to implement the changes to the MDRP and other changes under the ACA. Since that time, there have been significant ongoing efforts to modify or eliminate the ACA. For example, the Tax Cuts and Job Act of 2017, repealed the shared responsibility payment for individuals who fail to maintain minimum essential coverage under section 5000A of the Internal Revenue Code of 1986, as amended, or the Code, commonly referred to as the individual mandate.</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passage of the ACA. The Budget Control Act of 2011, among other things, resulted in aggregate reductions to Medicare payments to healthcare providers of up to 2.0% per fiscal year, which went into effect in April 2013. Subsequent legislation extended sequestration through 2031. The American Taxpayer Relief Act among other things, reduced Medicare payments to several types of providers, including hospitals, imaging centers, and cancer treatment centers, and increased the statute of limitations period for the government to recover overpayments to providers from three to five years. The Inflation Reduction Act of 2022 (the "IRA") contains substantial drug pricing reforms, including the establishment of a drug price negotiation program within the United States. Department of Health and Human Services that would require manufacturers to charge a negotiated "maximum fair price" for certain units of certain selected drugs or pay an excise tax for noncompliance, the establishment of rebate payment requirements on manufacturers of certain drugs payable under Medicare Parts B and D to penalize price increases that outpace inflation, and a requirement that manufacturers provide certain discounts on Part D drugs. Substantial penalties can be assessed for noncompliance with the drug pricing provisions in the IRA. The IRA could have the effect of reducing the prices we can charge and reimbursement we receive for our products, if approved, thereby reducing our profitability, and could have a material adverse effect on our financial condition, results of operations, and growth prospects. The effects of the IRA on our business and the pharmaceutical industry in general is not yet known.</w:t>
      </w:r>
    </w:p>
    <w:p>
      <w:pPr>
        <w:spacing w:after="0" w:line="2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legislation and regulatory actions have created certain price reporting obligations under the MDRP and 340B Program. Under the MDRP, a manufacturer is required to pay a rebate to each state Medicaid program for its covered outpatient drugs that are dispensed to Medicaid beneficiaries and paid for by a state Medicaid program as a condition of having federal funds made available to states for its covered outpatient drugs under Medicaid and Medicare Part B. Those rebates are based on pricing data that manufacturers report on a monthly and quarterly basis to CMS, the federal agency that administers Medicare and Medicaid. A manufacturer that becomes aware that its Medicaid reporting for a prior quarter was incorrect, or has changed as a result of recalculation of the pricing data, may be obligated to resubmit the corrected data for up to three years after those data originally were due, which revisions could affect rebate liability for prior quarters. If a manufacturer fails to pay the required rebate amount or report pricing data on a timely basis, it may be subject to civil monetary penalties and/or termination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of its Medicaid Drug Rebate program agreement, in which case federal payments may not be available under Medicaid or Medicare Part B for its covered outpatient drugs. Federal law requires that any manufacturer that would like federal funds to be available to pay for its covered outpatient drugs under Medicaid or Medicare Part B to also participate in the 340B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If a manufacturer is found to have knowingly and intentionally charged 340B covered entities more than the statutorily mandated ceiling price, it could be subject to significant civil monetary penalties and/or such failure also could be grounds for HRSA to terminate its agreement to participate in the 340B program, in which case its covered outpatient drugs would no longer be eligible for federal payment under the Medicaid or Medicare Part B program.</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the One Big Beautiful Bill Act of 2025 (“OBBBA”) imposed significant reductions in Medicaid funding, additional work requirements for Medicaid recipients, and more frequent reenrollment requirements. These changes are expected to place substantial pressure on state Medicaid budgets, reduce enrollment, and limit covered services, which could decrease utilization of, and reimbursement for, our products, if approved.</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The Trump Administration has issued executive orders and supported proposed regulatory initiatives in 2025 that could have a significant impact on the prices that we, or any collaborators, may receive for any approved products.</w:t>
      </w:r>
    </w:p>
    <w:p>
      <w:pPr>
        <w:spacing w:after="0" w:line="2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May 12, 2025, President Trump signed an executive order directing the Secretary of HHS to set and communicate most-favored-nation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spacing w:after="0" w:line="2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changes to the ACA, the IRA, and the Medicare and Medicaid programs, additional changes allowing the federal government to directly negotiate prices and changes stemming from other healthcare reform measures, especially with regard to healthcare access or financing or legislation in individual states, could have a material adverse effect on our business.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sometimes establishing Prescription Drug Affordability Boards (or similar entities) to review high-cost drugs,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Foreign Corrupt Practices Act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Foreign Corrupt Practices Act ("FCPA") prohibits any United States individual or business from paying, offering, or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suspension and debarment from government contracts, and refusal of orders under existing government contracts. Enforcement actions may be brought by the Department of Justice or the Securities and Exchange Commission ("SEC"), and legislation has expanded the SEC's power to seek disgorgement in all FCPA cases filed in federal court and extended the statute of limitations in the SEC enforcement actions in intent-based claims such as those under FCPA from five years to ten years.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the FCPA may require significant technical and legal expertise and capital investment, which may be costly and cannot be predicted with certainty. Criminal and/or civil violations or alleged violations of the FCPA can result in significant criminal and/or civil penalties, fines, disgorgement, exclusion from government contracts, imprisonment of current or former employees, or other sanctions. They may also result in litigation with affected parties. Any of these factors may have an adverse effect on our operations and/or reputation, which could have a material adverse effect on our business, financial condition, competitive position, and other results of operations. We are subject to other international anti-corruption laws which may entail similar risks.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Outside of the United States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to regulations in the United States, we may be subject to a variety of regulations in foreign jurisdictions that govern, among other things, clinical trials and any commercial sales and distribution of our product candidates, if approved, either directly or through our distribution partners. Whether or not we obtain FDA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approval process described above, and the time required to obtain approval in other countries and jurisdictions might differ from and be longer than that required to obtain FDA approval. Requirements governing the conduct of clinical trials, product approval, pricing, and reimbursement vary from country to country. For instance, for conducting clinical trials in the EU, Regulation (EU) No 536/2014 (</w:t>
      </w:r>
      <w:r>
        <w:rPr>
          <w:rFonts w:ascii="Times New Roman" w:cs="Times New Roman" w:eastAsia="Times New Roman" w:hAnsi="Times New Roman"/>
          <w:sz w:val="18"/>
          <w:szCs w:val="18"/>
          <w:i w:val="1"/>
          <w:iCs w:val="1"/>
          <w:color w:val="auto"/>
        </w:rPr>
        <w:t>Clinical Trials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w:t>
      </w:r>
      <w:r>
        <w:rPr>
          <w:rFonts w:ascii="Times New Roman" w:cs="Times New Roman" w:eastAsia="Times New Roman" w:hAnsi="Times New Roman"/>
          <w:sz w:val="18"/>
          <w:szCs w:val="18"/>
          <w:color w:val="auto"/>
        </w:rPr>
        <w:t>) has applied since 31 January 2022. Regulatory approval in one country or jurisdiction does not ensure regulatory approval in another, but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failure or delay in obtaining regulatory approval in one country or jurisdiction may negatively impact the regulatory process in other countries. Moreover, some nations may not accept clinical studies performed for the United States approval to support approval in their countries or require that additional studies be performed on natives of their countries. In addition, in certain foreign markets, the pricing of drug products is subject to government control and reimbursement may in some cases be unavailable or insufficient. Resulting prices could be insufficient to generate an acceptable return to us or any future partner of ours. If we fail to comply with applicable foreign regulatory requirements, we may be subject to, among other things, fines, suspension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withdrawal of regulatory approvals, product recalls, seizure of products, operating restrictions, and criminal prosecution</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Union Drug Development and Approval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April 2014, the EU adopted the Clinical Trials Regulation (EU) No 536/2014, or CTR, which repealed and replaced the previous Clinical Trials Directive (2001/20/EC) on January 31, 2022. The transitory provisions of the CTR provide that all ongoing clinical trials must have transitioned to the CTR by January 31, 2025. The CTR overhauls the previous system of approvals for clinical trials in the EU. Specifically, the CTR, which is directly applicable in all EU Member States (meaning no national implementing legislation in each Member State is required), aims at simplifying and streamlining the approval of clinical trials in the EU, simplifying adverse-event reporting procedures, improving the supervision of clinical trials and increasing their transparency. The main characteristics of the CTR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assessment of applications for clinical trials. The role of the relevant ethics committees in the assessment procedure continues to be governed by the national law of the applicable Member State, however overall related timelines are defined by the CTR.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 obtain a marketing authorization for a product in the EU, an applicant must submit a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 or the additional Member States of the European Economic Area (Norway, Iceland and Liechtenstein) ("EEA").</w:t>
      </w:r>
    </w:p>
    <w:p>
      <w:pPr>
        <w:spacing w:after="0" w:line="1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EC that is valid for all EU Member States, as well as the additional Member States of the EEA. Pursuant to Regulation (EC) No. 726/2004, the centralized procedure is compulsory for specific products, including for medicines produced by certain biotechnological processes, products designated as orphan medicinal products, advanced therapy medicinal products (gene-therapy, somatic cell-therapy or tissue-engineered medicines) and products with a new active substance indicated for the treatment of cancer, HIV, AIDS, neurodegenerative disorders, diabetes, auto-immune and other immune dysfunctions or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Under the centralized procedure, the CHMP, established at the EMA is responsible for conducting an initial assessment of a product. The maximum timeframe for the evaluation of a MAA is 210 days, excluding clock stops when additional information or written or oral explanation is to be provided by the applicant in response to questions of the CHMP. Clock stops may extend the timeframe of evaluation of an application considerably beyond 210 days. Where the CHMP gives a positive opinion, the EMA provides the opinion together with supporting documentation to the EC, who makes the final decision to grant a marketing authorization, which is issued within 67 days of receipt of the EMA’s recommendation. Accelerated evaluation may be granted by the CHMP in exceptional cases, when a medicinal product is of major interest from the viewpoint of public health and, in particular,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National marketing authorizations, which are issued by the competent authorities of the Member States of the EU and only cover their respective territory, are available for products not falling within the mandatory scope of the centralized procedure. Where a product has already been authorized for marketing in a Member State of the EU, this national authorization can be recognized in other Member States through the mutual recognition procedure. If the product has not received a national authorization in any Member State at the time of application, it can be approved simultaneously in various Member States through the decentralized procedure.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European Union</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EU, new chemical entities (including both small molecules and biological medicinal products) approved on the basis of a complete and independent data package qualify for eight years of data exclusivity upon marketing authorization and an additional two years of market exclusivity. Data exclusivity, if granted, prevents generic or biosimilar applicants from referencing the innovator’s pre-clinical and clinical trial data contained in the dossier of the reference product when applying for a generic or biosimilar marketing authorization, for a period of eight years from the date on which the reference product was first authorized in the EU. During the additional two-year period of market exclusivity, a generic or biosimilar MAA can be submitted, and the innovator’s data may be referenced, but no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currently approved therapies. There is no guarantee that a product will be considered by the EMA to be a new chemical entity, and products may not qualify for data exclusivity. Even if a product is considered to be a new chemical entity so that the innovator gains the prescribed period of data exclusivity, another company could nevertheless also market another version of the product if such company obtained marketing authorization based on a marketing authorization application with a complete and independent data package of pharmaceutical tests, preclinical tests and clinical trials.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Designation and Exclusivity</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medicinal product by the EC if its sponsor can establish that: (1) the product is intended for the diagnosis, prevention or treatment of a life-threatening or chronically debilitating condition,</w:t>
      </w:r>
    </w:p>
    <w:p>
      <w:pPr>
        <w:spacing w:after="0" w:line="1" w:lineRule="exact"/>
        <w:rPr>
          <w:sz w:val="20"/>
          <w:szCs w:val="20"/>
          <w:color w:val="auto"/>
        </w:rPr>
      </w:pPr>
    </w:p>
    <w:p>
      <w:pPr>
        <w:ind w:firstLine="8"/>
        <w:spacing w:after="0" w:line="243" w:lineRule="auto"/>
        <w:tabs>
          <w:tab w:leader="none" w:pos="2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such condition affects no more than five in ten thousand persons in the EU when the application is made, or (ii) without the benefits derived from orphan status, it is unlikely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that the marketing of the product in the EU would generate sufficient return to justify the necessary investment in its development; (3) there exists no satisfactory method of diagnosis, prevention or treatment of the condition in question that has been authorized in the EU or, if such method exists, the product would be of significant benefit to those affected by that condition.</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An orphan designation provides a number of benefits, including fee reductions, regulatory assistance and the possibility to apply for a centralized EU marketing authorization. Marketing authorization for an orphan medicinal product leads to a ten-year period of market exclusivity being granted following marketing approval of the orphan product. During this market exclusivity period, the EMA, the EC or the competent authorities of the EU Member States may only grant marketing authorization to a “similar medicinal product” for the same therapeutic indication if: (i) a second applicant can establish that its product, although similar to the authorized product, is safer, more effective or otherwise clinically superior; (ii) the marketing authorization holder for the authorized product consents to a second orphan medicinal product application; or (iii) the marketing authorization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designation because, for example, the product is sufficiently profitable not to justify market exclusivity. Orphan designation must be requested before submitting an application for marketing approval. Orphan designation does not convey any advantage in, or shorten the duration of, the regulatory review and approval process.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17"/>
          <w:szCs w:val="17"/>
          <w:color w:val="auto"/>
        </w:rPr>
        <w:t>aforementioned EU rules are generally applicable in the EEA.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European Union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EC introduced legislative proposals in April 2023 that, if implemented, will replace the current regulatory framework in the EU for all medicines (including those for rare diseases and for children). The EC has provided the legislative proposals to the European Parliament and the European Council for their review and approval, and, in April 2024, the European Parliament proposed amendments to the legislative proposals. Once the EC's legislative proposals are approved (with or without amendment), they will be adopted into EU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24, 2026, we had 116 employees, of which 79 employees are located in the United States, 34 are located in India and three are located in Canada. The majority of the employees are full-time. None of our employees are represented by a labor union or covered by a collective bargaining agreement. In addition to our employees, we engage various consultants to support key areas of our business, including support of our research and development, administrative, manufacturing, and commercialization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Management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human capital is critical to the success of our mission to deliver new options for people facing serious disease and conditions. We consider the performance, skills, and intellectual capital of our employees to be an essential driver of this mission and a key to our future prospects. As such, we emphasize a number of measures and objectives in attracting, retaining, and developing our human capital, including, among others, employee safety, wellness, engagement, and compensation and pay equity. Additionally, we recognize that our employees perform best when they know how their work contributes to our overall strategy. To achieve this, we emphasize open and direct communication through the use of a variety of channels, including company-wide business updates and written communications from the leadership team.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programs are designed to align our employees' interests with our achievement of our primary business goals. The salaries, bonuses, and opportunities for equity ownership provided to our employees are competitive within our industry and we engage outside compensation and benefits consulting firms to independently evaluate the effectiveness of our compensation and benefit programs and to provide benchmarking against our peers within the industry. The benefit options we provide are comprehensive and allow our employees and their families to live healthier and more secure lives. All full-time employees are eligible for medical, dental, and vision insurance, paid time off, a 401(k) plan, and group life and disability coverage.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and Leadership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of our employees is critical to our success. We believe that continued learning and development is an essential part to retaining our employees and creating a culture of learning and leadership. We encourage employees to participate and to take advantage of a variety of learning and development resources that we provide, including online skills courses, professional development events, and internal and external training programs based on individual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guided by a commitment to accountability, respect, and collaboration. These principles drive the values of our employees and agents that enable us to propel the future of medical science. These values include:</w:t>
      </w:r>
    </w:p>
    <w:p>
      <w:pPr>
        <w:spacing w:after="0" w:line="16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Respect </w:t>
      </w:r>
      <w:r>
        <w:rPr>
          <w:rFonts w:ascii="Times New Roman" w:cs="Times New Roman" w:eastAsia="Times New Roman" w:hAnsi="Times New Roman"/>
          <w:sz w:val="18"/>
          <w:szCs w:val="18"/>
          <w:color w:val="auto"/>
        </w:rPr>
        <w:t>— Acknowledging individual talents and understanding success requires everyone.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Integrity </w:t>
      </w:r>
      <w:r>
        <w:rPr>
          <w:rFonts w:ascii="Times New Roman" w:cs="Times New Roman" w:eastAsia="Times New Roman" w:hAnsi="Times New Roman"/>
          <w:sz w:val="18"/>
          <w:szCs w:val="18"/>
          <w:color w:val="auto"/>
        </w:rPr>
        <w:t>— An unwavering commitment to do what is right.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Teamwork </w:t>
      </w:r>
      <w:r>
        <w:rPr>
          <w:rFonts w:ascii="Times New Roman" w:cs="Times New Roman" w:eastAsia="Times New Roman" w:hAnsi="Times New Roman"/>
          <w:sz w:val="18"/>
          <w:szCs w:val="18"/>
          <w:color w:val="auto"/>
        </w:rPr>
        <w:t>— Collaboratively arriving at solutions so our people, patients, and shareholders benefit.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Accountability </w:t>
      </w:r>
      <w:r>
        <w:rPr>
          <w:rFonts w:ascii="Times New Roman" w:cs="Times New Roman" w:eastAsia="Times New Roman" w:hAnsi="Times New Roman"/>
          <w:sz w:val="18"/>
          <w:szCs w:val="18"/>
          <w:color w:val="auto"/>
        </w:rPr>
        <w:t>— Taking ownership of key deliverables.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were originally incorporated as a Massachusetts corporation in 2000 under the name Histogenics and underwent a corporate reorganization in 2006, pursuant to which we were reincorporated as a Delaware corporation. On September 27, 2019, we completed a reverse merger (the "Merger") with Ocugen OpCo, Inc. ("OpCo") in accordance with the terms of the Agreement and Plan of Merger and Reorganization, dated as of April 5, 2019, by and among OpCo, Restore Merger Sub, Inc., our wholly owned subsidiary ("Merger Sub"), and us, as amended, pursuant to which Merger Sub merged with and into OpCo, with OpCo surviving as our wholly owned subsidiary. Immediately after the completion of the Merger, we changed our name to Ocugen, Inc. and the business previously conducted by OpCo became the business conducted by us. Our common stock trades on The Nasdaq Capital Market ("Nasdaq") under the symbol “OCGN.”</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principal office is located at 11 Great Valley Parkway, Malvern, Pennsylvania 19355, and our telephone number is (484) 328-4701. Our website address is www.ocugen.com. Our website and the information contained on, or that can be accessed through, our website shall not be deemed to be incorporated by reference in, and is not considered part of this Annual Report. You should not rely on any such information in making your decision whether to purchase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 under the Securities Exchange Act of 1934, as amended (the "Exchange Act"). The SEC maintains an internet website, www.sec.gov, that contains reports, proxy, and information statements, and other information regarding issuers, including us, that file electronically with the SEC. Copies of each of our filings with the SEC on Form 10-K, Form 10-Q, and Form 8-K and amendments to those reports, can be viewed and downloaded free of charge at our website, www.ocugen.com, as soon as reasonably practicable after the reports and amendments are electronically filed with or furnished to the SEC. Our website and the information contained on, or that can be accessed through, our website shall not be deemed to be incorporated by reference in, and is not considered part of this Annual Report.</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copy of our Corporate Governance Guidelines, Code of Business Conduct and Ethics and the charters of the Audit Committee, Compensation Committee and Nominating and Corporate Governance Committee are posted on our website, www.ocugen.com, under “Investors”. Any amendments to Code of Business Conduct and Ethics are also being posted on our website, www.ocugen.com, under “Investors”.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Careful consideration should be given to the following risk factors, together with all other information set forth in this Annual Report, including our consolidated financial statements and related notes, and “Management’s Discussion and Analysis of Financial Condition and Results of Operations,” and in other documents that we file with the SEC, in evaluating Ocugen, Inc. and our subsidiaries (collectively, the “Company”, “we”, or “our”) and our business, before investing in our common stock. Investing in our common stock involves a high degree of risk. If any of the following risks and uncertainties actually occurs, our business, prospects, financial condition and results of operations could be materially and adversely affected. The market price of our common stock could decline if one or more of these risks or uncertainties were to occur, which may cause you to lose all or part of the money you paid to buy our common stock. The risk factors described below disclose both material and other risks and are not intended to be exhaustive and are not the only risks facing us. New risk factors can emerge from time to time, and it is not possible to predict the impact that any factor or combination of factors may have on our business, prospects, financial condition and results of operations. Certain statements below are forward-looking statements. See “Special Note Regarding Forward-Looking Statements” in this Annual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in this section of this Annual Report. These risks and uncertainties include, but are not limited to, the following:</w:t>
      </w:r>
    </w:p>
    <w:p>
      <w:pPr>
        <w:spacing w:after="0" w:line="54" w:lineRule="exact"/>
        <w:rPr>
          <w:sz w:val="20"/>
          <w:szCs w:val="20"/>
          <w:color w:val="auto"/>
        </w:rPr>
      </w:pPr>
    </w:p>
    <w:p>
      <w:pPr>
        <w:jc w:val="both"/>
        <w:ind w:left="660" w:hanging="328"/>
        <w:spacing w:after="0" w:line="25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absent obtaining significant additional funding.</w:t>
      </w:r>
    </w:p>
    <w:p>
      <w:pPr>
        <w:spacing w:after="0" w:line="23"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w:t>
      </w:r>
    </w:p>
    <w:p>
      <w:pPr>
        <w:spacing w:after="0" w:line="24"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We will need additional capital in order to enable us to successfully develop our product candidates, and such funding may not be available on acceptable terms, or at all. Raising additional capital may cause dilution to stockholders, restrict our operations, or require us to relinquish rights to our technologies or product candidates.</w:t>
      </w:r>
    </w:p>
    <w:p>
      <w:pPr>
        <w:spacing w:after="0" w:line="10" w:lineRule="exact"/>
        <w:rPr>
          <w:rFonts w:ascii="Arial" w:cs="Arial" w:eastAsia="Arial" w:hAnsi="Arial"/>
          <w:sz w:val="22"/>
          <w:szCs w:val="22"/>
          <w:color w:val="auto"/>
        </w:rPr>
      </w:pPr>
    </w:p>
    <w:p>
      <w:pPr>
        <w:jc w:val="both"/>
        <w:ind w:left="660" w:hanging="328"/>
        <w:spacing w:after="0" w:line="225"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terms of our Loan and Security Agreement with Avenue Capital Management II, L.P. and the lenders listed therein as well as our loan agreement with EB5 Life Sciences, L.P. require us to meet certain operating covenants and place restrictions on our operating and financial flexibility. If we raise additional capital through debt financing, the terms of any new debt could further restrict our ability to operate our business.</w:t>
      </w:r>
    </w:p>
    <w:p>
      <w:pPr>
        <w:spacing w:after="0" w:line="22" w:lineRule="exact"/>
        <w:rPr>
          <w:rFonts w:ascii="Arial" w:cs="Arial" w:eastAsia="Arial" w:hAnsi="Arial"/>
          <w:sz w:val="22"/>
          <w:szCs w:val="22"/>
          <w:color w:val="auto"/>
        </w:rPr>
      </w:pPr>
    </w:p>
    <w:p>
      <w:pPr>
        <w:ind w:left="660" w:hanging="328"/>
        <w:spacing w:after="0" w:line="242"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substantially dependent on the success of our product candidates. We cannot guarantee that our product candidates will successfully complete development, receive regulatory approval, or be successfully commercialized.</w:t>
      </w:r>
    </w:p>
    <w:p>
      <w:pPr>
        <w:spacing w:after="0" w:line="22"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product candidates generated from our modifier gene therapy platform are based on a novel technology and face an uncertain regulatory environment, which makes it difficult to predict the time and cost of product candidate development and subsequently obtaining regulatory approval.</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If we experience delays or difficulties in the enrollment of patients in clinical trials, our completion of clinical trials and receipt of necessary regulatory approvals could be delayed or prevented.</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We have no prior experience in the marketing, sale, and distribution of biotechnology products and there can be no assurance that our product candidates, if approved, will be successfully commercialized.</w:t>
      </w:r>
    </w:p>
    <w:p>
      <w:pPr>
        <w:spacing w:after="0" w:line="24"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24"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If third-party payors do not reimburse patients for our products candidates, if approved, or if reimbursement levels are set too low for us to sell our product candidates at a profit, our ability to successfully commercialize our product candidates, if approved, and our results of operations will be harmed.</w:t>
      </w:r>
    </w:p>
    <w:p>
      <w:pPr>
        <w:spacing w:after="0" w:line="24"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We rely, and expect to continue to rely, on third parties to conduct, supervise, and monitor our preclinical studies and clinical trials we may initiate, and those third parties may not perform satisfactorily, including failing to meet deadlines for the completion of such trials or failing to comply with regulatory requirements.</w:t>
      </w:r>
    </w:p>
    <w:p>
      <w:pPr>
        <w:spacing w:after="0" w:line="2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If we encounter difficulties in negotiating commercial manufacturing and supply agreements with third-party manufacturers and suppliers of our product candidates or any product components, our ability to commercialize our product candidates, if approved, would be impaired.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39"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If the manufacturers upon whom we rely on fail to produce our product candidates or product components pursuant to the terms of contractual arrangements with us or fail to comply with stringent regulations applicable to biotechnology manufacturers, we may face delays in the development and commercialization of, or be unable to meet demand for, our product candidates, if approved, and may lose potential revenues.</w:t>
      </w:r>
    </w:p>
    <w:p>
      <w:pPr>
        <w:spacing w:after="0" w:line="24"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We may seek to collaborate with third parties for the development or commercialization of our product candidates. We may not be successful in establishing or maintaining collaborative relationships, any of which could adversely affect our ability to develop and commercialize our product candidates.</w:t>
      </w:r>
    </w:p>
    <w:p>
      <w:pPr>
        <w:spacing w:after="0" w:line="2" w:lineRule="exact"/>
        <w:rPr>
          <w:rFonts w:ascii="Arial" w:cs="Arial" w:eastAsia="Arial" w:hAnsi="Arial"/>
          <w:sz w:val="22"/>
          <w:szCs w:val="22"/>
          <w:color w:val="auto"/>
        </w:rPr>
      </w:pPr>
    </w:p>
    <w:p>
      <w:pPr>
        <w:jc w:val="both"/>
        <w:ind w:left="660" w:hanging="328"/>
        <w:spacing w:after="0" w:line="27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with all patent prosecution, there is no guarantee of obtaining and maintaining patent protection for our technology and product candidates. In addition, there is no guarantee that the scope of the patent protection obtained is sufficiently broad or enforceable, to prevent our competitors from developing and commercializing technology and products similar or identical to ours. Furthermore, our ability to successfully commercialize our technology and product candidates may be impaired due to circumstances that may be out of our control.</w:t>
      </w:r>
    </w:p>
    <w:p>
      <w:pPr>
        <w:spacing w:after="0" w:line="1"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patents or other intellectual property, which could be expensive, time-consuming, and unsuccessful.</w:t>
      </w:r>
    </w:p>
    <w:p>
      <w:pPr>
        <w:spacing w:after="0" w:line="23" w:lineRule="exact"/>
        <w:rPr>
          <w:rFonts w:ascii="Times New Roman" w:cs="Times New Roman" w:eastAsia="Times New Roman" w:hAnsi="Times New Roman"/>
          <w:sz w:val="18"/>
          <w:szCs w:val="18"/>
          <w:color w:val="auto"/>
        </w:rPr>
      </w:pPr>
    </w:p>
    <w:p>
      <w:pPr>
        <w:jc w:val="both"/>
        <w:ind w:left="660" w:hanging="328"/>
        <w:spacing w:after="0" w:line="244"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Certain aspects of our product candidates are protected by patents exclusively licensed from other companies or institutions. If these licensors terminate their agreements with us or fail to maintain or enforce the underlying patents or licenses thereto, or we otherwise lose our rights to these patents, our competitive position and our market share in the markets for any of our licensed and approved products will be harmed.</w:t>
      </w:r>
    </w:p>
    <w:p>
      <w:pPr>
        <w:spacing w:after="0" w:line="2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Provisions in our charter documents and under Delaware law could discourage a takeover that stockholders may consider favorable and may lead to entrenchment of management.</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trading price of the shares of our common stock could be highly volatile, and purchasers of our common stock could incur substantial losses.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spacing w:after="0" w:line="14" w:lineRule="exact"/>
        <w:rPr>
          <w:rFonts w:ascii="Arial" w:cs="Arial" w:eastAsia="Arial" w:hAnsi="Arial"/>
          <w:sz w:val="22"/>
          <w:szCs w:val="22"/>
          <w:color w:val="auto"/>
        </w:rPr>
      </w:pPr>
    </w:p>
    <w:p>
      <w:pPr>
        <w:jc w:val="both"/>
        <w:ind w:left="660" w:hanging="328"/>
        <w:spacing w:after="0" w:line="228"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If we fail to maintain proper and effective internal control over financial reporting, our ability to produce accurate and timely financial statements could be impaired, our operating costs could increase and management's attention could be diverted from executing our business strategy, investors may lose confidence in our financial reporting, and the trading price of our common stock may decline.</w:t>
      </w:r>
    </w:p>
    <w:p>
      <w:pPr>
        <w:spacing w:after="0" w:line="9" w:lineRule="exact"/>
        <w:rPr>
          <w:rFonts w:ascii="Arial" w:cs="Arial" w:eastAsia="Arial" w:hAnsi="Arial"/>
          <w:sz w:val="22"/>
          <w:szCs w:val="22"/>
          <w:color w:val="auto"/>
        </w:rPr>
      </w:pPr>
    </w:p>
    <w:p>
      <w:pPr>
        <w:jc w:val="both"/>
        <w:ind w:left="660" w:hanging="328"/>
        <w:spacing w:after="0" w:line="230"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use of new and evolving technologies, such as artificial intelligence ("AI"),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absent obtaining significant additional funding.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may continue to incur net losses in the future. Our recurring losses from operations raise substantial doubt about our ability to continue as a going concern for the next 12 months from the date of the consolidated financial statements included in this Annual Report are issued. As a result, our independent public accounting firm included an explanatory paragraph regarding the same in its report on this Annual Report. Substantial doubt about our ability to continue as a going concern may create negative reactions to the price of our common stock and we may have a more difficult time obtaining financing in the future as a result.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significant revenue to date and have funded our operations to date through the sale of common stock, warrants to purchase common stock, the issuance of convertible notes and debt, and grant proceeds. We incurred net losses of approximately $67.8 million and $54.1 million for the years ended December 31, 2025 and 2024, respectively. As of December 31, 2025, we had an accumulated deficit of $408.1 million and a cash balance of $18.6 million. This amount will not meet our capital requirements over the next 12 months. We estimate that our cash and cash equivalents will enable us to fund our operations into the fourth quarter of 2026. Based on this estimate, we will need to raise significant additional capital in order to fund our future operations. We have based this estimate on assumptions that may prove to be wrong, and our operating and capital requirements may change as a result of many factors currently unknown to us. Furthermore, we generally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be able to raise sufficient additional capital on acceptable terms or at all. If such additional financing is not available on satisfactory terms,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In addition, economic circumstances outside of our control such as a recession or depression and inflation may reduce our ability to access capital, which could negatively affect our liquidity and ability to continue as a going concern. Further, the perception that we may not be able to continue as a going concern may cause others to choose not to do business with us due to concerns about our ability to meet our contractual obligations.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revenues from the sale of products, and absent the realization of sufficient revenues from product sales, if any, of our current or future product candidates, we may never attain profitability in the future. To date, we have devoted substantially all of our financial resources and efforts to research and development, including preclinical and clinical studies. We may continue to incur losses from operations in the next several years as we increase our expenditures in research and development in connection with our ongoing and planned clinical trials and other development and pre-commercialization activities. Even if we obtain a regulatory approval to market a product candidate, our future revenues will depend upon the size of any markets in which our product candidates have received such approval, and our ability to achieve sufficient market acceptance, reimbursement from third-party payors, and adequate market share for our products in those 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expenses will increase in fiscal year 2026 compared to fiscal year 2025 as we continue to conduct clinical activities with respect to our product candidates, including the continuation of several clinical trials for our product candidates, as well as increased headcount, including management personnel to support our research and development, clinical, and business activities, and expanded infrastructure, among other factors.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inherently unpredictable nature of preclinical and clinical development and the numerous risks and uncertainties associated with such activities, we are unable to predict with any certainty the nature or amounts of the costs we will incur, the timelines we will require in our continued development efforts or the timing, or if we will be able to achieve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our expenses will also increase if, and, as we:</w:t>
      </w:r>
    </w:p>
    <w:p>
      <w:pPr>
        <w:spacing w:after="0" w:line="117"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that we may pursue in the future, particularly if there are any delays in enrollment of patients in or completing our clinical trials or the development of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product candidates that successfully complete clinical development;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capabilities for our product candidates for which we obtain a regulatory approval;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to support our clinical trials of our product candidates and commercialization of any of our product candidates for which we obtain a regulatory approval;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other companies, products, product candidates, or technologies, or in-license the rights to other products, product candidates, or technologies;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We do not expect to generate revenue that is sufficient to achieve profitability unless and until we obtain marketing approval for and commercialize one of our product candidates and even if we obtain marketing approval for and commercialize one of our product candidates, we may never become profitable. Our product candidates are in various stages of preclinical and clinical development or pre-commercialization, and it is unknown whether our near-term efforts to obtain regulatory approval or commercial sales may be successful or whether additional preclinical, clinical, or manufacturing data may be needed before we obtain regulatory approval for any candidate. Even if we do achieve profitability, we may not be able to sustain or increase profitability on a quarterly or annual basis. Our failure to become profitable or inability to remain profitable would decrease the value of our company and could impair our ability to raise capital, expand our business, maintain our research and development efforts, continue or undertake commercialization efforts, diversify our product offerings, or even continue our operations. A decline in the value of our company could also cause you to lose all or part of your investment.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history of commercializing pharmaceutical products, which may make it difficult for you to evaluate the success of our business to date and to assess our future viability.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biotechnology company and investment in biotechnological product development is a highly speculative endeavor. Biotechnology product development entails substantial upfront capital expenditures and there is significant risk that any potential product candidate will fail to demonstrate adequate efficacy or an acceptable safety profile, to gain any required regulatory approvals or to become commercially viable. To date, our operations have been limited to organizing and staffing our company, acquiring rights to intellectual property, business planning, raising capital, and developing our product candidates. We have not yet demonstrated an ability to obtain marketing approvals, manufacture a commercial-scale product,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difficulties frequently experienced by growing companies in a rapidly developing and changing industry, such as the biotechnological industry, including challenges in forecasting accuracy, determining appropriate investments of our limited resources, gaining market acceptance of our products, if approved, managing a complex regulatory landscape, and developing new product candidates. Our current operating model may require changes in order for us to scale our operations efficiently. As we prepare for potential commercialization of our products candidates, if approved we will need to transition from a company with a research and development focus to a company capable of supporting commercial activities. We may not be successful in such a transition. You should consider our business and prospects in light of the risks and difficulties we face as a company focused on developing products in the fields of biopharmaceuticals and biotechnology.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product development activities, particularly as we continue the development of and seek marketing approval for our product candidates and any potential future product candidates, as applicable. As of December 31, 2025, we had cash of approximately $18.6 million. This amount will not meet our capital requirements over the next 12 months. We estimate that our cash and cash equivalents will enable us to fund our operations into the fourth quarter of 2026. Based on this estimate, we will need to raise significant additional capital in order to fund our future operations. We have based this estimate on assumptions that may prove to be wrong, and our operating and capital requirements may change as a result of many factors currently unknown to us.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Conducting preclinical testing and clinical trials is a time-consuming, expensive, and uncertain process that takes years to complete. We cannot predict when we will be able to generate the necessary data or results required to obtain regulatory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approval of products with the market potential sufficient to enable us to achieve profitability, if ever. Accordingly, we may need to obtain substantial additional funding in connection with our continuing operations. Our future capital requirements will depend on many factors, including:</w:t>
      </w:r>
    </w:p>
    <w:p>
      <w:pPr>
        <w:spacing w:after="0" w:line="5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the regulatory approval process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commercialization;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doing business internationally with respect to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infrastructure to support our development, commercialization, and business efforts, including the costs related to the development of a laboratory and manufacturing facility;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recruiting and retaining skilled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product candidates, or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out-license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turmoil, macroeconomic conditions, social unrest, political instability, terrorism, or other acts of war.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Moreover, adequate additional financing may not be available to us on acceptable terms, or at all. If adequate funds are not available to us on a timely basis, we may be required to delay, limit, reduce, or terminate preclinical studies, clinical trials, or other development activities for one or more of our product candidates or delay, limit, reduce, or terminate our establishment of sales and marketing capabilities or other activities that may be necessary to commercialize our product candidates.</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18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candidates, our business, financial condition and results of operations could be materially adversely affected.</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in order to enable us to successfully develop our product candidates, and such funding may not be available on acceptable terms, or at all. Raising additional capital may cause dilution to stockholders, restrict our operations, or require us to relinquish rights to our technologies or product candidates.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additional capital in order to enable us to successfully develop and obtain authorization or approval for our product candidates. Such funding may not be available on acceptable terms, or at all. We expect to raise additional capital through public and private placements of equity and/or debt, payments from potential strategic research and development arrangements, sales of assets, government grants, licensing and/or collaboration arrangements with pharmaceutical companies or other institutions, funding from the government, or funding from other third parties. We also intend to work closely with government agencies to obtain funding for the development of our novel inhaled mucosal vaccine platform.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licensing arrangements, or marketing and distribution arrangements, we may have to relinquish valuable rights to our technologies, future revenue streams, research programs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or grant licenses on terms that may not be favorable to us. Such arrangements may require us to grant rights to develop and market products or product candidates that we would otherwise prefer to develop and market on our own.</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terms of our Loan and Security Agreement with Avenue Capital Management II, L.P. and the lenders listed therein as well as our loan agreement (the "EB-5 Loan Agreement") with EB-5 Life Sciences, L.P. ("EB-5 Life Sciences") require us to meet certain operating covenants and place restrictions on our operating and financial flexibility. If we raise additional capital through debt financing, the terms of any new debt could further restrict our ability to operate our business.</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November 6, 2024, we entered into a Loan and Security Agreement with Avenue Venture Opportunities Fund II, L.P., as a lender ("Avenue 2"), Avenue Venture Opportunities Fund, L.P., as a lender ("Avenue 1", together with Avenue 2, the "Lenders") and Avenue Capital Management II, L.P., as administrative agent and collateral agent (the "Agent," together with the Lenders, "Avenue") that is secured by a lien on all of our assets (the "Loan and Security Agreement").</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of December 31, 2025, we had $30.0 million of outstanding principal borrowings under the Loan and Security Agreement. Additionally, as of December 31, 2025, we had $1.5 million of outstanding principal borrowings under the EB-5 Loan Agreement, which we are required to repay on the seventh anniversary of the date of the last disbursement under the EB-5 Loan Agreement (unless terminated earlier pursuant to the terms of the EB-5 Loan Agreement).</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Loan and Security Agreement contains customary affirmative and negative covenants and events of default. Affirmative covenants include, among others, covenants requiring us to protect and maintain our intellectual property and comply with all applicable laws, deliver certain financial reports and maintain insurance coverage. Negative covenants include, among others, covenants restricting us from transferring any part of our business or intellectual property, incurring additional indebtedness, engaging in mergers or acquisitions, repurchasing shares, paying dividends or making other distributions, making investments, and creating other liens on our assets, including our intellectual property, in each case subject to customary exceptions. Our obligations under the EB-5 Loan Agreement are secured by substantially all of our assets other than our intellectual property. We could in the future incur additional indebtedness beyond our borrowings under the EB-5 Loan Agreement. If we raise any additional debt financing, the terms of such additional debt could further restrict our operating and financial flexibility. These restrictions may include, among other things, limitations on the incurrence of additional debt and specific restrictions on the use of our assets, as well as prohibitions on our ability to create liens, pay dividends, redeem capital stock or make investments. If we default under the terms of the Loan and Security Agreement, the EB-5 Loan Agreement or any future debt facility, Avenue or EB-5 Life Sciences may accelerate all of our repayment obligations and take control of our pledged assets, potentially requiring us to renegotiate our agreement on terms less favorable to us or to immediately cease operations. Further, if we were to be liquidated, Avenue’s and EB-5 Life Sciences' rights to repayment would be senior to the rights of the holders of our common stock. Avenue could declare an event of default upon the occurrence of any event that could reasonably be expected to result in what they interpret as a material adverse effect as defined under the Loan and Security Agreement or the EB-5 Loan Agreement. Any declaration by Avenue of an event of default could significantly harm our business and prospects and could cause the price of our common stock to decline.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existing or future debt could have significant adverse consequences, including:</w:t>
      </w:r>
    </w:p>
    <w:p>
      <w:pPr>
        <w:spacing w:after="0" w:line="104" w:lineRule="exact"/>
        <w:rPr>
          <w:sz w:val="20"/>
          <w:szCs w:val="20"/>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cash flow from operations or cash on hand to the payment of interest on, and principal of, our debt, which will reduce the amounts available to fund working capital, capital expenditures, product development efforts, and other general corporate purposes;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 (for instance, the EB-5 Loan Agreement includes restrictive covenants related to, among other things, the disposition of our property, the incurrence by us of any additional indebtedness, and the creation by us of any liens or other encumbrances);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 and placing us at a competitive disadvantage compared to our competitors that have less debt or better debt servicing options.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satisfy our current and future debt service obligations, we will be required to raise funds from external sources. We may be unable to arrange for additional financing to pay the amounts due under our existing debt. Funds from external sources may not be available on acceptable terms, if at all. Our failure to satisfy our current and future debt obligations could adversely affect our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has broad discretion in the use of the net proceeds from our capital raises, including our November 2024 debt financing transaction, and may not use these proceeds effectively.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our capital raises, including our August 2025 Offering (as defined below) and, November 2024 debt financing,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We have and may continue to invest the net proceeds from our capital raises in investment-grade, interest-bearing instruments and the United States government agency securities and treasuries. These investments are not likely to yield a significant return. Our management might not apply our existing cash and cash equivalents in ways that ultimately increase the value of your investment. The failure by our management to apply these funds effectively could harm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tax net operating losses is uncertain.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significant net operating losses since our inception. As of December 31, 2025, we had United States federal net operating loss carryforwards of approximately $350.3 million. Our ability to utilize these net operating losses to offset future tax liabilities depends on the successful development of our product candidates and future financial performance.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our net operating losses may be subject to Section 382 of the Internal Revenue Code of 1986, as amended ("Section 382"). Generally, if an ownership change occurs within three years of the closing date of an entity's most recent change in control transaction, any existing net operating losses and certain built-in losses would be subject to an additional limitation, pursuant to Section 382. Change in control as defined by Section 382 occurs when there is an ownership change among stockholders owning directly or indirectly 5% or more of our common stock, as well as an aggregate ownership change with respect to such stockholders of more than 50% of our common stock. We have not yet conducted a comprehensive study to assess whether a change of ownership as defined by Section 382 has occurred since our inception. If it is determined that we are unable to use our net operating losses to reduce future tax liabilities, our financial condition, results of operations, and cash flows may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future changes in tax legislation or exposure to additional tax liabilities that may adversely affect our financial condition, results of operations, and cash flows.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taxes in the United States as well as the foreign jurisdictions where our subsidiaries are organized. Due to economic and political conditions, tax rates, tax laws, and other non-tax legislation, we may experience significant impacts as a result of prospective changes (which may have retroactive application). Our future effective tax rates may be affected by changes in the valuation of deferred tax assets and liabilities, changes in available tax credits or tax deductions, as well as changes in tax law and other non-tax laws, or their interpretation.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tax returns and other tax matters are subject to examination by applicable tax authorities and governmental bodies. We regularly assess the likelihood of an adverse outcome resulting from examination, in order to determine any resulting impact to our provision for income taxes or deferred tax balances. There can be no assurance as to the outcome of these examinations. As such, if we were to sustain an adjustment as a result of a tax examination in excess of amounts previously accrued, our financial condition could be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 candidates. We cannot guarantee that our product candidates will successfully complete development, receive regulatory approval, or be successfully commercialized.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invested a significant portion of our efforts and financial resources in the development of our product candidates. We currently have no products authorized or approved for which we have successfully commercially distributed, and we have not generated revenues from sales of any products. Our business and our ability to generate revenues in the near term depends entirely on the successful development, approval, and commercialization of our product candidates, which may never occur. If the results or timing of regulatory filings, the regulatory process, regulatory developments, clinical trials or preclinical studies, or other activities, actions, or decisions related to our product candidates do not meet our or others' expectations, the market price of our common stock could decline significantly.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or unacceptable adverse events or failure to demonstrate efficacy in clinical trials. Further, our product candidates may not receive regulatory approval even if they are successful in clinical trials, and our product candidates may not be successfully commercialized even if they receive regulatory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are in various stages of development ranging from pre-clinical development to pre-commercialization.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success of our product candidates and our ability to generate revenues from our product candidates, if approved, will depend on many factors including our ability to:</w:t>
      </w:r>
    </w:p>
    <w:p>
      <w:pPr>
        <w:spacing w:after="0" w:line="5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obtain favorable results from our clinical trials and preclinical studies with respect to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and receive marketing approval from the applicable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approval for our manufacturing processes and facilities from the applicable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enroll qualified patients for clinical trials with respect to our product candidates in a timely manner;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maintain a workforce of experienced scientists and others with experience in relevant technologies to continue to develop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deploy marketing and sales representatives or contract with a third-party for marketing and sales representatives to commercialize product candidates in the United States and key foreign markets;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create market demand for our product candidates, if approved, through marketing and sales activities, and any other arrangements to promote these product candidates that we may otherwise establish;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and establish a market share;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and efficacy profile of our product candidates, if approved, following commercial launch;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pricing, and payment coverage for our product candidates, if approved;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in sufficient quantities and at acceptable quality and manufacturing cost to meet commercial demand at launch and thereafter;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partnerships with, or offer licenses to, qualified third parties to promote and sell product candidates, if approved, in domestic and key foreign markets where we receive marketing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product candidates for additional indications or for use in broader patient populations;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identify, register, maintain, enforce, and defend intellectual property rights and claims covering our products and intellectual property portfolio; and not infringe on others’ intellectual property rights.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we are not able to do any of the foregoing, our business may be materially harmed. If we do not receive FDA or other applicable foreign regulatory approval for, and successfully commercialize our product candidates, we will not be able to generate revenue from these product candidates in the United States or other key foreign markets for the foreseeable future or at all.</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generated from our modifier gene therapy platform are based on a novel technology and face an uncertain regulatory environment, which makes it difficult to predict the time and cost of product candidate development and subsequently obtaining regulatory approval.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substantial portion of our product research and development efforts is centered around our modifier gene therapy platform. The regulatory approval and successful commercialization of OCU400, OCU410, and OCU410ST depend on the successful development of this platform. There can be no assurance that any development problems we experience in the future related to our modifier gene therapy platform will not cause significant delays or unanticipated costs, or that such development problems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 be solved. The clinical trial requirements of the FDA, the EMA, and other regulatory agencies, and the criteria used by these regulators to determine the safety and efficacy of a product candidate vary substantially according to the type, complexity, novelty, and intended use and market of such product candidates. The regulatory approval process for novel product candidates such as these can be more expensive and take longer than for other, better known, or extensively studied pharmaceuticals or other product types.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Regulatory requirements governing gene and cell therapy products have changed frequently and may continue to change in the future. For example, the FDA established the Office of Tissues and Advanced Therapies within its Center for Biologics Evaluation and Research ("CBER") to consolidate the review of gene therapy and related products, and the Cellular, Tissue and Gene Therapies Advisory Committee to advise CBER on its review. Gene therapy clinical trials conducted at institutions that receive funding for recombinant deoxyribonucleic acid ("DNA") research from the NIH may also be subject to review by the NIH Novel and Exceptional Technology and Research Advisory Committee ("NExTRAC"), formerly the Recombinant DNA Advisory Committee, which now focuses on emerging areas of research including, but not restricted to, technologies surrounding advances in recombinant or synthetic nucleic acid research. Although the FDA decides whether individual gene therapy protocols may proceed, it is possible the NExTRAC review process, if undertaken for any of our candidates, could delay the initiation of a clinical trial, even if the FDA has reviewed the trial design and details and approved its initiation. Before a clinical trial can begin at a study site, the institution’s IRB and its IBC have to review the proposed clinical trial to assess the safety of the trial. In addition, adverse developments in clinical trials of gene therapy products conducted by others may cause the FDA or other regulatory bodies to change the requirements for approval of any of our product candidates.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gene therapy product candidates, we will be required to consult with these regulatory and advisory groups, and comply with applicable guidelines. If we fail to do so, we may be required to delay or discontinue development of our gene therapy product candidates. These additional processes may result in a review and approval process that is longer than we otherwise would have expected for orphan ophthalmology product candidates. Delay or failure to obtain, or unexpected costs in obtaining the regulatory approval necessary to bring a potential product to market could decrease our ability to generate sufficient product revenue to maintain our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Existing data on the safety and efficacy of gene therapy is very limited and sometimes include historically poor clinical efficacy of previous non-replicating gene therapy products. In addition, there have been publicized safety issues associated with previous gene therapy products in third-party clinical trials, including patient deaths. The results of preclinical and clinical trials performed for our product candidates will not definitively predict safety or efficacy in humans. OCU400, OCU410, and OCU410ST use an AAV vector. Possible serious side effects of other viral vector-based gene therapies in general include uncontrolled viral infections and the development of cancer, particularly lymphoma or leukemia. The risk of insertional mutagenesis or oncogenesis remains a significant concern for gene therapy, and we cannot provide any assurance that it will not occur in any of our ongoing or planned clinical trials with respect to our product candidates based on our modifier gene therapy platform. There is also the potential risk of delayed adverse events following exposure to gene therapy products due to persistent biological activity of the genetic material or other components of products used to carry the genetic material. Potential procedure-related adverse reactions, including inflammation, can also occur. If any such adverse events occur during clinical trials, further advancement of such clinical trials could be halted or delayed, which would have a material adverse effect on our business and operations.</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Finally, the public's attitude may be influenced by claims that gene therapy technology is unsafe, unethical, or immoral. If we are unable to convincingly demonstrate the safety and efficacy of our product candidates arising from our gene modifier platform, our product candidates, even if approved by the FDA or foreign regulatory authorities, may not gain the acceptance of the public or the medical community. For example, </w:t>
      </w:r>
      <w:r>
        <w:rPr>
          <w:rFonts w:ascii="Times New Roman" w:cs="Times New Roman" w:eastAsia="Times New Roman" w:hAnsi="Times New Roman"/>
          <w:sz w:val="18"/>
          <w:szCs w:val="18"/>
          <w:color w:val="231F20"/>
        </w:rPr>
        <w:t>in November 2023, the FDA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announced it was investigating the risk of T cell malignancies associated with currently approved </w:t>
      </w:r>
      <w:r>
        <w:rPr>
          <w:rFonts w:ascii="Times New Roman" w:cs="Times New Roman" w:eastAsia="Times New Roman" w:hAnsi="Times New Roman"/>
          <w:sz w:val="18"/>
          <w:szCs w:val="18"/>
          <w:color w:val="000000"/>
        </w:rPr>
        <w:t>BCMA- and CD19-directed autologous CAR T cell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immunotherapies. The FDA subsequently announced class safety labeling changes to highlight these risks and recommended life-long monitoring of patients and clinical trial participants receiving treatment with these products. It is unclear whether these safety events and resulting FDA action may adversely impact the FDA’s approach to regulating any product candidates we may develop based on the use of our modifier gene therapy platform, or may negatively impact patients’, providers’, or public perception of such product candidates.</w:t>
      </w:r>
    </w:p>
    <w:p>
      <w:pPr>
        <w:spacing w:after="0" w:line="1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not be able to commercialize our product candidates as expected, and our ability to generate revenue will be materially impaired.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marketing, and distribution of pharmaceutical products are subject to extensive regulations by the FDA and other regulatory authorities, which regulations differ from country to country. The time required to obtain approval by the FDA and comparable foreign authorities is unpredictable but typically takes many years following the commencement of clinical trials. The outcome of the approval process is inherently uncertain and depends upon numerous factors, including the substantial discretion of the regulatory authorities. This is especially true for rare and/or complicated diseases. Failure can occur at any time during the clinical trial process. We cannot predict if or when we might receive regulatory approvals for any of our product candidates currently under development. Any delay in our obtaining or our failure to obtain required approvals could materially adversely affect our ability to generate revenue from the particular product candidate, which likely would result in significant harm to our financial position and adversely impact our stock price.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preclinical and clinical data and supporting information to regulatory authorities for each therapeutic indication to establish the product candidate’s safety and efficacy for that indication. We may be unable to design and execute a clinical trial to support marketing approval. Securing marketing approval also requires the submission of information about the product manufacturing process to, and inspection of, manufacturing facilities and clinical trial sites by the regulatory authorities. Regulatory authorities have substantial discretion in the approval process and may refuse to accept any application or may decide that our data is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The FDA or other similar regulatory authorities may determine that our product candidates are not effective or only moderately effective (e.g., studies may not produce the necessary result on all study endpoints), that our studies failed to reach the necessary level of statistical significance, or that our product candidates have undesirable or unintended side effects, toxicities, or other characteristics that preclude us from obtaining marketing approval or prevent or limit commercial use.</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including the FDA and the NIH, or IRBs or IBCs may not authorize us or our investigators to commence or continue a clinical trial, conduct a clinical trial at a prospective trial site, or amend trial protocols, or regulators, IRBs, or IBCs may require that we modify or amend our clinical trial protocols;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CDMOs;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be lost to follow-up at a higher rate than we anticipate;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the regulators, IRBs, or IBCs may require the suspension or termination of clinical research for various reasons, including noncompliance with regulatory requirements or a finding that the participants are being exposed to unacceptable health risks, undesirable side effects, or other unexpected characteristics (alone or in combination with other products) of the product candidate, or due to findings of undesirable effects caused by a chemically or mechanistically similar therapeutic or therapeutic candidate;</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or regulations, or changes in or the enactment of additional statutes or regulations, during the development period rendering our data insufficient to obtain marketing approval and requiring us to conduct additional studies;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increase the needed enrollment size for the study, or extend the study’s duration;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manufacturer’s manufacturing facility for clinical and future commercial supplies;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marketing application, or other comparable submissions in foreign jurisdictions, or to obtain regulatory approval in the United States or elsewhere;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take longer than we anticipate to make a decision on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delays relating to any preclinical or clinical trials also could shorten any periods during which we may have the exclusive right to commercialize our product candidates, if approved, or allow our competitors to bring products to market before we do. This may prevent us from receiving marketing approvals and impair our ability to successfully commercialize our product candidates, if approved,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failure to comply with FDA and comparable foreign regulatory requirements may, either before or after product approval, if any, subject us to administrative or judicially imposed sanctions, including:</w:t>
      </w:r>
    </w:p>
    <w:p>
      <w:pPr>
        <w:spacing w:after="0" w:line="5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products, manufacturers, or manufacturing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Form 483s, or untitled letters alleging violations;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marketing applications or supplements to approved marketing applications.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we were to obtain regulatory approval of a product candidate, the FDA or comparable foreign regulatory authorities may grant approval for fewer or more limited indications, populations, or uses than we request, may require significant safety warnings, including black box warnings, contraindications, and precautions, may grant approval contingent on the performance of costly post-marketing clinical trials, surveillance, restrictions on use or other requirements, including a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development and manufacture of biologics is a complex process and entails particular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OCU200 is our novel biologic designed to treat retinal diseases. The process of developing and manufacturing biologics is complex, highly regulated, and subject to multiple risks, and we have no experience in successfully developing, manufacturing, or commercializing a biologics product. The manufacturing of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and higher costs.</w:t>
      </w:r>
    </w:p>
    <w:p>
      <w:pPr>
        <w:spacing w:after="0" w:line="21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raw materials required in our third-party vendors’ manufacturing processes are derived from biological sources. We cannot assure you that our third-party vendors have, or will, be able to obtain on commercially reasonable terms, or at all, sufficient rights to these materials derived from biological sources. Such raw materials are difficult to procure and may also be subject to contamination or recall. If microbial, viral, or other contaminations are discovered at the facilities of our manufacturer, such facilities may need to be closed for an extended period of time to investigate and remedy the contamination, which could delay clinical trials, result in higher costs of drug product, and adversely harm our business. A material shortage, recall, or restriction on the use of biologically derived substances in the manufacture of our product candidates could adversely impact or disrupt the clinical and commercial manufacturing of our product candidates, which could materially and adversely affect our operating results and development timelines. In addition, the United States government has imposed a 10% additional tariff on imports from China and may impose more restrictions on goods, including biologically derived substances, manufactured in or imported from China or impose other restrictions on companies' ability to work with Chinese biotech companies. This could have a material adverse effect on our business and operations. In addition, regional or single-source dependencies may in some cases accentuate these risks. For example, the pharmaceutical industry generally, and in some instances us or our collaborators or other third parties on which we rely, depend on China-based suppliers or service providers for certain raw materials, goods, including biologically derived substances, products and services, or other activities. Our ability or the ability of our collaborators or such other third parties to continue to engage these China-based suppliers or service provides and Chinese biotech companies for certain preclinical research programs and clinical development programs could be restricted due to geopolitical developments between the United States and China, including as a result of the escalation of tariffs or other trade restrictions or if the federal legislation known as the BIOSECURE Act or a similar law were to be enacted.</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biologic product candidates may expose us to additional potential product liability claims. The development of biologic products entails a risk of additional product liability claims because of the risk of transmitting disease to human recipients, and substantial product liability claims may be asserted against us as a result.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OCU400 has received RMAT and ODDs from the FDA, as well as ATMP and OMPD designations from the EMA. OCU410ST has received RPDD and ODD from the FDA and ATMP and OMPD from the EMA, OCU410 has received ATMP designation from the EMA. However, there is no guarantee that we will be able to maintain these designations, receive these designations for any of our other product candidates, or receive or maintain any corresponding benefits, including periods of exclusivity.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obtained from the FDA Office of Orphan Products, ODDs for OCU400 for RP and LCA and had previously received ODDs for the treatment of the following disease genotypes: NR2E3,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PDE6ß</w:t>
      </w:r>
      <w:r>
        <w:rPr>
          <w:rFonts w:ascii="Times New Roman" w:cs="Times New Roman" w:eastAsia="Times New Roman" w:hAnsi="Times New Roman"/>
          <w:sz w:val="18"/>
          <w:szCs w:val="18"/>
          <w:color w:val="auto"/>
        </w:rPr>
        <w:t xml:space="preserve"> mutation-associated inherited retinal degenerations. OCU400 has additionally received OMPD from the EC, based on the recommendation of the EMA, for RP and LCA. We have also received ODD and OMPD for OCU410ST for the treatment of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-associated retinopathies including ST, RP19 and CORD3 diseases. We may also seek ODD or OMPD for our other product candidates, as appropriate. While these ODDs and OMPDs provide us with certain advantages, they neither shorten the development time or regulatory review time of a product candidate nor give the product candidate any advantage in the regulatory review or approval process.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if a product candidate with ODD or OMPD is the first to receive marketing approval for the orphan indication, the product is entitled to a period of marketing exclusivity, which precludes the FDA or EC from approving another MAA for the same (or a similar in the European Union) drug or biologic for the same indication for a specified time period. The applicable period is seven years in the United States and 10 years in the European Union. The European Union exclusivity period can be reduced to six years if, at the end of the fifth year, it is established that a product no longer meets the criteria for OMPD or if the product is sufficiently profitable so that market exclusivity is no longer justified. The Council of the European Union and European Parliament have reached a provisional agreement on legislation that, if implemented, will reduce the ten-year period of orphan exclusivity for certain orphan medicinal products in the EU.</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be able to obtain any future ODDs or OMPDs that we apply for. Receiving ODDs or OMPDs do not guarantee that we will be able to successfully develop our product candidates, and there is no guarantee that we will be able to maintain any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ODDs or OMPDs that we receive. For instance, ODDs may be revoked if the FDA finds that the request for designation contained an untrue statement of a material fact or omitted material information, or if the FDA finds that the product candidate was not eligible for designation at the time of the submission of the request.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even if we are able to receive and maintain ODDs or OMPDs, we may ultimately not receive any period of regulatory exclusivity if our product candidates are approved. For instance, we may not receive orphan product regulatory exclusivity if the indication for which we receive FDA or EC regulatory approval is different than the ODD or OMPD. Orphan exclusivity may also be lost for the same reasons that ODD or OMPD may be lost.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we obtain orphan exclusivity for any of our current or future product candidates, that exclusivity may not effectively protect the product candidate, if approved, from competition as different products can be approved for the same condition or products that are the same as ours can be approved for different conditions. Even after an orphan product is approved, the FDA or EC can also subsequently approve a product containing the same principal molecular features for the same condition if: (i) the regulatory authority concludes that the latter product is clinically superior by means of greater effectiveness, greater safety, or providing a major contribution to patient care, (ii) if we are unable to assure a sufficient quantity of the product to meet the needs of patients with the rare disease or condition, or (iii) we consent to the authorization of the latter product.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another sponsor receives approval for such product before we do, we would be prevented from launching our product for the orphan indication during the period of marketing exclusivity unless we can demonstrate clinical superiority to the authorized orphan product (or in other very limited circumstances).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pursued, and may in the future pursue, fast track, breakthrough therapy, or RMAT designations from the FDA for one or more of our product candidates. Even though some of our product candidates received RMAT Designation and these or other product candidates may in the future receive fast track, breakthrough therapy or RMAT designations, we may be unable to obtain and maintain the benefits associated with such designations. These designations may not lead to a faster development or regulatory review or approval process and will not increase the likelihood that such product candidates will receive marketing approval.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May 2022, the FDA granted RMAT designation to NeoCart for the repair of full-thickness lesions of the knee cartilage in adults. In December 2023, the FDA granted RMAT designation to OCU400 for the treatment of RP associated with NR2E3 and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mutations. In the future, we may seek additional product designations, such as breakthrough therapy and additional RMAT and fast track designations, which are intended to facilitate the development or regulatory review or approval process for product candidates. Receipt of such a designation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FDA procedures and does not assure ultimate marketing approval by the FDA. In addition, the FDA may later decide that the product candidates no longer meet the designation conditions, in which case any granted designations may be revoked.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our product candidates have undesirable side effects that could delay or prevent their regulatory approval or commercialization. If such side effects are identified during the development of our product candidates, we may need to abandon our development of such product candidates.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one of our product candidates as a result of undesirable side effects identified during preclinical or clinical testing, the FDA may order us to cease further development or issue a letter requesting additional data or information prior to making a final decision regarding whether or not to approve the product candidate. FDA requests for additional data or information can result in substantial delays in the approval of a new product candidate.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any unexpected characteristics (alone or in combination with other products) for any of our product candidates could also result in denial of regulatory approval by the FDA or other comparable foreign authorities for any or all targeted indications or the inclusion of unfavorable information in our product labeling, such as limitations on the indicated uses or populations for which the products may be marketed or distributed, a label with significant safety warnings, including boxed warnings, contraindications, and precautions, a label without statements necessary or desirable for successful commercialization, may result in requirements for costly post-marketing testing and surveillance, or other requirements, including REMS, to monitor the safety or efficacy of the products. These could prevent us from commercializing and generating revenues from the sale of our product candidates.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Many compounds that initially showed promise in clinical or earlier stage testing have later been found to cause side effects that prevented further development of the compound. In addition, adverse events which had initially been considered unrelated to the study treatment may later be found to be caused by the study treatment. Moreover, incorrect or improper use of our product candidates (including use more frequently than is prescribed), if approved, by patients could cause unexpected side effects or adverse events. There can be no assurance that our product candidates, if approved, will be used correctly, and if used incorrectly, such misuse could prevent our receipt or maintenance of marketing approval, resulting in label changes or regulatory authority safety communications or warnings, or hamper commercial adoption of our product candidate, if approved, at the rate we currently expect. Additionally, we currently provide expanded access to OCU400 in the United States to certain eligible adults. There may be adverse events arising during the course of this or any future EAP we might implement which could adversely impact the further development or approvability of our product candidates.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are associated with SAEs,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We may also be held liable for harm caused to patients and our reputation may suffer. Any of these occurrences may significantly harm our business, financial condition, results of operations, and prospects.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completion of clinical trials and receipt of necessary regulatory approvals could be delayed or prevented.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Our ongoing clinical trials could be discontinued early if they experience slow enrollment, and we may also experience similar difficulties in future clinical trials. If patients are unwilling to participate in our clinical trials because of negative publicity from adverse events related to vaccines, gene therapy, or in the industry more broadly, in the clinical trials for related third party product candidates, or for other reasons, including competitive clinical trials for similar patient populations, the timeline for recruiting patients, conducting studies, and obtaining regulatory approval of potential products may be delayed. These delays could result in increased costs, delays in advancing our product development, delays in testing the effectiveness of our product candidates, or termination of the clinical trials altogether.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or our clinical trial sites may not be able to identify, recruit, and enroll a sufficient number of patients, or those with the required or desired characteristics in a clinical trial, to complete our clinical trials in a timely manner. Patient enrollment is affected by other factors including:</w:t>
      </w:r>
    </w:p>
    <w:p>
      <w:pPr>
        <w:spacing w:after="0" w:line="54" w:lineRule="exact"/>
        <w:rPr>
          <w:sz w:val="20"/>
          <w:szCs w:val="20"/>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(for instance, we are pursuing clinical trials for certain orphan indications, for which the size of the patient population is limited);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current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including the potential advantages or disadvantages of the product candidate being studied in relation to other available therapies;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maintain patients' informed consents;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patients will drop out before completion or not return for post-treatment follow-up;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compensate patients for their time and effort;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clinical trials as required by the FDA or similar regulatory authorities outside the United States. Our inability to enroll a sufficient number of patients for our clinical trials would result in significant delays and could require us to abandon one or more clinical trials altogether. In particular, there may be low or slow enrollment, and the studies may enroll subjects that do not meet the inclusion criteria, requiring the erroneously enrolled subjects to be excluded and the trial population to be increased. Moreover, patients in our clinical trials, especially patients in our control groups, may be at risk for dropping out of our studies if they are not experiencing relief of their disease. A significant number of withdrawn patients would compromise the quality of a study's data.</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Enrollment difficulties or delays in our clinical trials may result in increased development costs for our product candidates, or the inability to complete development of our product candidates, which would cause our value to decline, limit our ability to obtain additional financing, and materially impair our ability to generate revenues.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from preclinical studies and early-stage clinical trials and "top-line", initial or preliminary data from our clinical trials may not be predictive of success in later clinical trials.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preliminary study results, and early-stage clinical trials of our product candidates may not be predictive of the results of later-stage clinical trials or the ultimately completed clinical trial. Preliminary and final results from such studies may not be representative of study results that are found in larger, controlled, blinded, and more long-term studies. Product candidates in later stages of clinical trials may fail to show the desired safety and efficacy traits despite having progressed through preclinical studies and initial clinical trials. A number of companies have suffered significant setbacks in advanced clinical trials, notwithstanding promising results in earlier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from time to time, we may publish interim, “top-line,” initial, or preliminary data from our clinical trials. Interim data from clinical trials are subject to the risk that one or more of the clinical outcomes may materially change as patient enrollment continues and more patient data becomes available. Preliminary, initial, or “top-line” data also remain subject to audit and verification procedures that may result in the final data being materially different from the preliminary data previously published. As a result, interim, “top-line”, initial, and preliminary data should be viewed with caution until the final data are available. Adverse changes between preliminary, initial, “top-line” or interim data and final data could significantly harm our business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portions of our clinical trials for product candidates at sites outside the United States, and the FDA may not accept data from clinical trials conducted in foreign locations.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 portions of our clinical trials outside the United States. Although the FDA may accept data from clinical trials conducted outside the United States, acceptance of data is in either case subject to the respective conditions imposed by the FDA. For example, the clinical trial must be well-designed and conducted and be performed by qualified investigators in accordance with ethical principles, such as IRB or ethics committee approval and informed consent. The trial population must also adequately represent the United States population, and the data must be applicable to the United States population and United States medical practice in ways that the FDA deems clinically meaningful. In addition, while these clinical trials are subject to the applicable local laws (and therefore failure to comply with such laws could result in regulatory enforcement action), acceptance of the data by the FDA will be dependent upon its determination that the clinical trials were conducted consistent with all applicable United States laws and regulations. If the FDA does not accept the data from any clinical trial that we conduct outside the United States, it would likely result in the need for additional trials, which would be costly and time-consuming and could delay or permanently halt our development of the applicable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market and sell our products in jurisdictions outside the United States, we must obtain separate marketing approvals in international jurisdictions and comply with numerous and varying regulatory requirements. The approval procedures vary among countries and the time required to obtain approval may differ substantially from that required to obtain FDA approval. The regulatory approval process outside the United States generally includes all of the risks associated with obtaining FDA</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approval. In addition, in many countries outside the United States, it is required that the product be approved for reimbursement before the product can be approved for sale in that country. The clinical trials of our product candidates may not be sufficient to support an application for marketing approval outside the United States. Seeking foreign regulatory approval could result in difficulties and costs for us and require additional preclinical studies or clinical trials which could be costly and time consuming.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any product candidates approved for sale in any jurisdiction, including in international markets, and we do not have experience in obtaining regulatory approval in international markets. We, or any current or eventual collaborators, may not obtain approvals from regulatory authorities outside the United States on a timely basis, if at all. Approval by the FDA does not guarantee approval by regulatory authorities in other countries or jurisdictions, and approval by one regulatory authority outside the United States does not guarantee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injunctions, or other enforcement actions if we are determined to be promoting the use of our products, if approved, for unapproved or “off-label” uses, resulting in damage to our reputation and business.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We may not market or promote them for other indications and uses, referred to as off-label uses. We further must be able to sufficiently substantiate any claims that we make for our products, if approved, including claims comparing our products to other companies’ products and must abide by the FDA’s strict requirements regarding the content of promotion and advertising. 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Such litigation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suspension and debarment from government contracts, and refusal of orders under existing government contracts. These false claims statutes include the federal civil FCA, which allows any individual to bring a lawsuit against a company on behalf of the federal government ("qui tam" action)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FCA lawsuits against sponsors of drugs and biologics have increased significantly in volume and breadth in recent years, leading to several substantial civil and criminal settlements pertaining to certain sales practices and promoting off-label uses. In addition, FCA lawsuits may expose sponsors to follow-on claims by private payors based on fraudulent marketing practices. This growth in litigation has increased the risk that companies will have to defend a false claim action, and pay settlements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United States PDMA, and the promotion of biologic and pharmaceutical products are subject to additional FDA requirements and restrictions on promotional statements. If the FDA determines that our promotional activities violate our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These regulatory and enforcement actions could significantly harm our business, financial condition, results of operations, and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we will be subject to ongoing obligations and continued regulatory review, which may result in significant additional expense.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GMP requirements relating to manufacturing, quality control, quality assurance, and corresponding maintenance of records and documents, requirements regarding the distribution of samples to physicians and GCPs, for any clinical trials that we conduct post-approval.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and populations for which the product may be marketed or to the conditions of approval, including significant safety warnings, such as boxed warnings, contraindications, and precautions that are not desirable for successful commercialization. Any approved products may also be subject to a REMS that render the approved product not commercially viable or other post-market requirements, such as Phase 4 studies, or restrictions. If the FDA or comparable foreign regulatory authorities become aware of new safety information after the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current GMP and other FDA regulatory requirements. Application holders must further notify the FDA, and depending on the nature of the change, obtain FDA pre-approval for product and manufacturing changes.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6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distribution, or marketing of such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restrictions on the indication or approved patient population, and required additional warnings, such as black box warnings, contraindications, and precautions;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comparable foreign authority may require that we establish or modify a similar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Form 483s, or cyber letters;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or recall of the products from the market;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limit the marketability of our product candidates, or impose additional regulatory obligations on us. Changes in medical practice and standard of care may also impact the marketability of our product candidates, if approved.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upon the existing rights of third-parties, and be acceptable to the FDA. We may be unable to build a successful brand identity for a new trademark in a timely manner or at all, which would limit our ability to commercialize our product candidates, if approved.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events and conditions could adversely affect our business, financial condition and operating results.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U.S. government and other nations’ administrations and their associated shifts in policy and priorities could also impact our operations and market conditions. Our business is highly sensitive to geopolitical issues, including foreign policy actions taken by governments such as tariffs, sanctions, embargoes, export and import controls, and other trade restrictions, which can affect the demand for, and our ability to sell, our products and services, cause disruptions to our supply chain, and, ultimately, could adversely affect our business. Global conflicts, including Russia’s invasion of Ukraine, conflicts in the Middle East, and heightened tensions in the Pacific region, have significantly elevated global geopolitical tensions and security concerns. Economic sanctions, export controls, and other trade restrictions, for instance those that the U.S. Government and other nations implemented against Russia in light of its invasion of Ukraine or those relating to the conflict in the Middle East, could directly and indirectly result in the disruption of our business and supply chain. Although we do not have any clinical trial sites or operations in the currently affected regions, if the current conflict expands further into the region or continues, resulting heightened economic sanctions from the United States and the international community, in addition to environmental regulations, could limit our ability to procure or use certain materials or manufacturing slots for the products needed for our clinical trials, which could lead to delays in these trials.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portions of our clinical trials are conducted outside of the United States, such as our Phase 3 liMeliGhT clinical trial for OCU400 for the treatment of RP in Canada, and unfavorable economic conditions resulting in the weakening of the U.S. dollar would make those clinical trials more costly to operate. Significant political, trade, or regulatory developments in the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jurisdictions in which we may sell our products, if approved,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on September 25, 2025, the current U.S. administration announced a 100% tariff on brand-name or patented drugs unless pharmaceutical companies expand their manufacturing operations in the U.S. While pharmaceutical products are currently excluded from the baseline and "reciprocal" tariffs imposed by the U.S., such tariffs still apply to the raw materials and other products necessary for the manufacture and formulation of our product candidates.</w:t>
      </w:r>
    </w:p>
    <w:p>
      <w:pPr>
        <w:spacing w:after="0" w:line="20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current U.S. administration has threatened to continue to broadly impose tariffs, which could lead to corresponding punitive actions by the countries with which the U.S. trades. Historically, tariffs have led to increased trade and political tensions. In response to tariffs, other countries have implemented</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We are continuing to monitor global capital markets and assessing the potential impact of these factors on our business, including the impact of our Phase 3 liMeliGhT clinical trial for OCU400.</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Additionally, severe or prolonged economic downturn or additional global financial crises could result in a variety of risks to our business, including weakened demand for any product candidates we develop or our ability to raise additional capital when needed on acceptable terms, if at all. For example, on October 1, 2025, the U.S. federal government shutdown through November 12, 2025, suspending services deemed non-essential as a result of the failure by Congress to enact regular appropriations for the 2026 fiscal year. If we experience another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Specifically, changes in the economic, political, legal and social conditions and policies of the Chinese government or in relations between China and the United States may materially and adversely affect our business, financial condition, results of operations, access to capital, and the market price of our common stock.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co-development and commercialization agreement with CanSinoBIO with respect to the development and commercialization of our modifier gene therapy platform including OCU400, OCU410 and OCU410ST as well as manufacturing part of our inhaled mucosal vaccine platform including OCU500, and as a result, have significant operations in China. Due to our operations in China, our business, results of operations, financial condition, access to capital, market price of our common stock and prospects may be influenced to a significant degree by economic, political, legal and social conditions in China or changes in government relations between China and the United States or other governments. Furthermore, we face the risk that our business operations in China will be impacted by government regulations and/or foreign sanctions. Escalation of current geopolitical tensions may implicate China and could increase the risk of government regulations and/or foreign sanctions and imposition of export controls and import restrictions. In addition, our information technology systems may be at risk of being blocked from our world-wide operations. Ongoing human rights concerns in China may result in boycotts of our services or client requests not to use Chinese operations to support their projects.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the U.S. Congress is considering a legislative proposals known as the BIOSECURE ACT that, if enacted, could negatively impact the United States funding for certain biotechnology providers having relationships with foreign adversaries or which pose a threat to national security, including entities located in China. Although the BIOSECURE Act was not passed, in October 2025, versions of the National Defense Authorization Act of 2026 passed each respective chamber of Congress and both included an amendment that will effectively implement federal government contracting, loan, and grant restrictions similar to the 2024 BIOSECURE Act. This 2025 version of the BIOSECURE Act does not identify any specific companies by name in the legislative text. The potential downstream adverse impacts on entities having only commercial relationships with any impacted biotechnology providers is unknown but may include supply chain disruptions or delays.</w:t>
      </w:r>
    </w:p>
    <w:p>
      <w:pPr>
        <w:spacing w:after="0" w:line="2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disruption at the FDA, the SEC and other government agencies, including from government shut downs, or other disruptions to these agencies’ operations could hinder their ability to hire and retain key leadership and other personnel, delay the review and approval of regulatory submissions, limit the development or implementation of regulatory programs,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Federal agencies in the United States, including the FDA and the SEC, operate pursuant to annual appropriations and other political and budgetary processes, and may from time to time be subject to continuing resolutions, funding lapses, or other fiscal constraints. Without appropriation of sufficient funding to federal agencies, our business operations related to our product development activities for the U.S. market could be impacted.</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and may continue to fluctuate as a results of these factor as a result. In addition, government funding of the SEC and other government agencies on which our operations may rely, including those that fund research and development activities, is subject to the political process, which is inherently fluid and unpredictable. For example,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most recently in October 1, 2025 through November 12, 2025, and certain regulatory agencies, such as the FDA and the SEC, have had to furlough critical employees and stop critical activities. If a prolonged government shutdown occurs again, or if global health concerns or shortages in resources prevent the FDA or other regulatory authorities from conducting their regulatory inspections, reviews or other regulatory activities, including formal or informal interactions with product developers,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or delay the review or effectiveness of required regulatory or securities filings.</w:t>
      </w:r>
    </w:p>
    <w:p>
      <w:pPr>
        <w:spacing w:after="0" w:line="21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U.S. Congress, the Trump administration, or any new administration may make substantial changes to fiscal, tax, and other federal policies that may adversely affect our business.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With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prior experience in the marketing, sale, and distribution of biotechnology products and there can be no assurance that our product candidates, if approved, will be successfully commercialized.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prior experience in the marketing, sale, and distribution of biotechnology products, and there are significant risks involved in the building and managing of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pharmaceutical or biotechnology companies to recruit, hire, train, manage, and retain marketing and sales personnel. Factors that may inhibit our efforts to commercialize our product candidates include:</w:t>
      </w:r>
    </w:p>
    <w:p>
      <w:pPr>
        <w:spacing w:after="0" w:line="7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train, manage,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coverage and reimbursement by government and private health plans;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realization on government sales from mandatory discounts, rebates and fees, and from price concessions to private health plans and pharmacy benefit managers necessitated by competition for access to managed formularies;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we may make for the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other foreign regulatory agencies, including those that we may agree to as part of a mandatory REMS or voluntary risk management plan;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 foregoing occur, we may not be successful in commercializing any product candidates for which we receive marketing approval.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conducting marketing and sales activities in international jurisdictions and entering into international business relationships, including:</w:t>
      </w:r>
    </w:p>
    <w:p>
      <w:pPr>
        <w:spacing w:after="0" w:line="6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and biologics in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seek additional patent approvals, licenses to patents held by third parties, and/or face claims of infringing third-party patent rights;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(including tariffs that have been or may in the future be imposed by the United States or other countries),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the U.K. Bribery Act 2010 (the "Bribery Act"), or other comparable foreign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pandemics or other outbreaks of infectious disease, earthquakes, typhoons, floods, and fires.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and sales capabilities or enter into agreements with third parties to market and sell our product candidates, if approved, we may be unable to generate product revenues.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do not have a commercial infrastructure for the marketing, sale, and distribution of biotechnology products. If approved, in order to commercialize our products, we must build our marketing, sales, and distribution capabilities or make arrangements with third parties to perform these services. If we do not establish sales, marketing, and distribution capabilities successfully, either on our own or in collaboration with third parties, we will not be successful in commercializing any product candidates for which we receive marketing approval.</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regulatory approval of any of our product candidates, we may build a commercial team of specialty sales and marketing representatives in support of our product candidates that we develop in the United States or other foreign countries, if approved, as well as distribution capabilities. There are risks involved with us establishing our own sales, marketing, and distribution capabilities. Recruiting and training a sales force is expensive and time-consuming, particularly to the extent that we seek to commercialize any product, if approved, for an indication, such as dAMD, that has a large patient population. We will be competing with many companies that currently have extensive and well-funded marketing and sales operations to recruit, hire, train, and retain marketing and sales personnel. Further, we may underestimate the size of the sales force required for a successful product launch and may need to expand our sales force earlier and at a higher cost than we anticipate. If the commercial launch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or alternatively decide to collaborate with a third-party or contract sales organization to commercialize any approved product candidates, in which event, our ability to generate product revenues may be limited. Our product revenues and our profitability, if any, under any third-party collaboration, distribution, or other marketing arrangements are likely to be lower than if we were to market, sell, and distribute the applicable product candidate, if approved, entirely ourselves. We may not be successful in entering into arrangements with third parties to sell, market, and distribute our product candidates, if approved, or may be unable to do so on terms that are favorable to us. In addition, we would have less control over the sales efforts of any other third parties involved in our commercialization efforts and any of them may fail to devote the necessary resources and attention to sell and market our product candidates, if approved, effectively. We could also be held liable if such third parties failed to comply with applicable legal or regulatory requirements.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we are unable to develop a team of marketing and sales representatives or to establish an effective third-party contractual relationship for such services, we may not be able to commercialize our product candidates, if approved, which would limit our ability to generate product revenues. Even if we are able to effectively hire a sales force and develop a marketing and sales infrastructure, our sales force and marketing teams may not be successful in commercializing our product candidates, if approved.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biotechnology industry is characterized by rapidly advancing technologies as well as a strong emphasis on intellectual property leading to a highly competitive environment for the development and commercialization of therapeutic products, regenerative medicines, and vaccines. We face competition with respect to our current product candidates and will face competition with respect to any product candidates that we may seek to develop or commercialize in the future. We face competition from many different sources, including from major pharmaceutical companies, specialty pharmaceutical companies, biotechnology companies,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development and commercialization of gene therapies is highly competitive. We are aware of several companies focusing on gene therapies for various ophthalmic indications including Applied Genetic Technologies Corporation, as acquired by Syncona Limited, Astellas Pharma Inc., MeiraGTx Holdings plc in partnership with Janssen Pharmaceuticals, Inc., Nanoscope Therapeutics Inc., REGENXBIO Inc., Novartis AG, Roche AG, Kiora Pharmaceuticals, Inc., Genentech, Inc. in partnership with Lineage Cell Therapeutics, Inc., and Spark Therapeutics, Inc. Luxturna, the product developed by Spark Therapeutics, Inc. and marketed by Roche AG, is currently the only gene therapy approved to treat IRDs in the United States which addresses only mutations in the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The mutation associated with the </w:t>
      </w:r>
      <w:r>
        <w:rPr>
          <w:rFonts w:ascii="Times New Roman" w:cs="Times New Roman" w:eastAsia="Times New Roman" w:hAnsi="Times New Roman"/>
          <w:sz w:val="18"/>
          <w:szCs w:val="18"/>
          <w:i w:val="1"/>
          <w:iCs w:val="1"/>
          <w:color w:val="auto"/>
        </w:rPr>
        <w:t>RPE65</w:t>
      </w:r>
      <w:r>
        <w:rPr>
          <w:rFonts w:ascii="Times New Roman" w:cs="Times New Roman" w:eastAsia="Times New Roman" w:hAnsi="Times New Roman"/>
          <w:sz w:val="18"/>
          <w:szCs w:val="18"/>
          <w:color w:val="auto"/>
        </w:rPr>
        <w:t xml:space="preserve"> gene represents just one of more than 125 mutated genes linked to RP and LCA.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regenerative medicine sector is characterized by innovative science, rapidly advancing technologies, and a strong emphasis on proprietary products. The competitive landscape in the field of articular cartilage repair in the United States is emerging and has stimulated a substantial amount of interest from companies developing tissue repair solutions. Products that may compete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our NeoCart product candidate include Vericel Corporation's MACI, the only FDA-approved ACI product in the United States, and Aesculap Biologics, LLC's NOVOCART 3D, which is currently being evaluated in their Phase 3 clinical trial.</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and will continue to face, intense competition from companies as well as institutions that are pursuing or have commercialized vaccines that would compete with our inhaled mucosal vaccine platform, if commercialized. The competitive landscape of COVID-19 vaccines includes competitors such as Pfizer Inc./BioNTech SE, Moderna, Inc., AstraZeneca PLC, Novavax, Inc., Sinovac Biotech Ltd., Gamaleya Research Institute of Epidemiology and Microbiology, and Center for Genetic Engineering and Biotechnology. Each of the aforementioned vaccines have been authorized or approved in at least one country within the Ocugen Mucosal Vaccine Territory and are intramuscular vaccines. CanSinoBIO's Convidecia Air, an intranasal vaccine targeting COVID-19, has been approved in China. Other competitors for our novel inhaled mucosal vaccine platform include CyanVac LLC, Meissa Vaccines, Inc., Codagenix, Inc., Intravacc B.V., McMaster University, and Tetherex Pharmaceuticals Corporation. Companies such as Pfizer Inc./BioNTech SE, Moderna, Inc., CureVac N.V in partnership with GSK plc, Vivaldi Biosciences Inc., and Novavax, Inc. are also in the process of developing a combination vaccine that will protect against COVID-19 and the seasonal flu. Vivaldi Biosciences Inc. is also currently undergoing clinical trials for their intranasal vaccine for the seasonal flu.</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biologic products is highly competitive as well. Companies that may compete with our OCU200 product candidate include Roche AG, Regeneron Pharmaceuticals, Inc., AsclepiX Therapeutics, Inc., Outlook Therapeutics, Inc., Novartis AG, Oxurion NV, Unity Biotechnology, Inc., Opthea Limited, and 4D Molecular Therapeutics, Inc. Roche AG, Regeneron Pharmaceuticals, Inc., and Novartis AG have marketed anti-VEGF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are more convenient or are less expensive than any products that we may develop and for which we receive approval. Our competitors also may obtain FDA or other regulatory approval for their products more rapidly than we may obtain approval for our product candidates, which could result in our competitors establishing a strong market position before we are able to enter the market. They may obtain patent protection or other intellectual property rights that allow them to develop and commercialize their products before us and could limit our ability to develop or commercialize our product candidates.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ability to compete may be affected in many cases by insurers or other third-party payors' coverage decisions, particularly Medicare, seeking to encourage the use of generic or biosimilar products. Many of the products that will compete with our product candidates, if approved, are available on a generic basis, and our product candidates may not demonstrate sufficient additional clinical benefits to clinicians, patients, or payors to justify a higher price compared to generic products. Additional competing products are expected to become available on a generic basis over the coming years.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for which we receive approval do not achieve broad market acceptance, the revenues that we generate from their sales will be limited.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our product candidates are approved by the appropriate regulatory authorities for marketing and sale, they may not gain acceptance among physicians, patients, third-party payors, and others in the medical community. Physicians are often reluctant to switch their patients and patients may be reluctant to switch from existing therapies even when new and potentially more effective or safer treatments enter the market. We have never commercialized a product candidate for any indication, and efforts to educate the medical community and third-party payors on the benefits of our product candidates may require significant resources and may not be successful. With respect to our product candidates being developed based on our modifier gene therapy platform, market acceptance may also be constrained by ethical, social, and legal concerns about gene therapy and genetic research, which could result in additional regulations restricting or prohibiting the products and processes we may use. The novelty of the technology and any negative publicity surrounding adverse events associated with gene therapy may also prevent the medical community, patients, and third-party payors from accepting gene therapy products in general, and our product candidates in particular, as medically useful, cost-effective, and safe.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acceptance of our product candidates by the medical community, patients, and third-party payors will depend on a number of factors, some of which are beyond our control. If any product candidates for which we obtain regulatory approval does not gain an adequate level of market acceptance, it may not generate significant product revenues or become profitable.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any of our product candidates will depend on a number of factors, including:</w:t>
      </w:r>
    </w:p>
    <w:p>
      <w:pPr>
        <w:spacing w:after="0" w:line="117"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 candidates that may be more restrictive than other competitive products;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 which could reduce the marketing impact of any claims that we could make following FDA approval, if obtained;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such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formulary coverage and adequate coverage or reimbursement by third parties, such as insurance companies and other healthcare payors, and by government healthcare programs, including Medicaid and particularly by Medicare in light of the prevalence of retinal diseases in persons over age 55;</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 party payors to obtain coverage;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manufacturing, marketing, and distribution of such product candidates;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we agree as part of a REMS or voluntary risk management plan;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availability of generic or biosimilar versions of any products that compete with any of our product candidates and the extent to which they are offered at a substantially lower price than we expect to offer for our product candidates, if approved;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market opportunities for our product candidates are smaller than we believe, our revenue may be adversely affected, and our business may suffer.</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precisely estimate. Our estimates of the potential market opportunities are predicated on many assumptions, which may include industry knowledge and publications, third-party research reports, and other surveys, some of which we may have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In addition, while we believe that our internal assumptions are reasonable, these assumptions involve the exercise of significant judgment on the part of our management, are inherently uncertain, and the reasonableness of these assumptions has not been assessed by an independent source. If any assumptions prove to be inaccurate, the actual markets for our product candidates could be smaller than our estimates of the potential market opportunities, and as a result, our product revenue may be limited, and it may be more difficult for us to achieve or maintain profitability.</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do not reimburse patients for our products candidates, if approved, or if reimbursement levels are set too low for us to sell our product candidates at a profit, our ability to successfully commercialize our product candidates, if approved, and our results of operations will be harmed.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our product candidates, if approved, will depend in part on the extent to which coverage and adequate reimbursement for our product candidates will be available in a timely manner from third-party payors, including governmental healthcare programs such as Medicare and Medicaid, commercial health insurers, and managed care organizations. This is particularly true with respect to OCU200, our novel biologic product candidate, in the case of Wet AMD, which is most prevalent in persons over age 55. Government authorities and other third-party payors, such as private health</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insurers and health maintenance organizations, determine which medications they will cover and establish reimbursement levels. Reimbursement decisions by particular third-party payors depend upon a number of factors, including each third-party payor's determination that use of a product is:</w:t>
      </w:r>
    </w:p>
    <w:p>
      <w:pPr>
        <w:spacing w:after="0" w:line="5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and medically necessary for the specific condition or disease;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effective;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Obtaining coverage and reimbursement approval for our product candidates from government authorities or other third-party payors may be a time consuming and costly process that could require us to provide supporting scientific, clinical, and cost-effectiveness data, including expensive pharmacoeconomic studies beyond the data required to obtain marketing approval, for the use of each product candidate to each government authority or other third-party payor. We may not be able to provide data sufficient to gain acceptance with respect to coverage and reimbursement.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Third-party payors may deny reimbursement for covered products if they determine that a medical product was not used in accordance with cost-effective diagnosis methods, as determined by the third-party payor, or was used for an unapproved indication. Third-party payors also may refuse to reimburse for procedures and devices deemed to be experimental. Third-party payors may also limit coverage to specific products on an approved list, or formulary, which might not include all of the approved products for a particular indication.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Increasingly, third-party payors are also requiring that drug companies provide them with predetermined discounts from list prices and are challenging the prices charged for medical products. These third-party payors could also impose price controls and other conditions that must be met by patients prior to providing coverage for use of our product candidates, if approved. For example, insurers may establish a "step-edit" system that requires a patient to first use a lower price alternative product prior to becoming eligible for reimbursement of a higher price product.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Third-party payors also attempt to contain healthcare costs by limiting both coverage and the level of reimbursement for medical products and services. The process for determining whether a payor will provide coverage for a product may be separate from the process of setting the price or reimbursement rate that the payor will pay for the product once coverage is approved. Levels of reimbursement may also decrease in the future, and legislation, regulation, or reimbursement policies of third-party payors may adversely affect the demand for and reimbursement available for our product candidates, which in turn, could negatively impact pricing. If patients are not adequately reimbursed for our product candidates, if approved, they may reduce or discontinue purchases of our product candidates, which would result in a significant shortfall in achieving revenue expectations and negatively impact our business, prospects,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organization, we have limited experience in the development, manufacturing, distribution, or commercialization of a vaccine candidate.</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limited experience in the development of vaccine candidates and have never undertaken the manufacturing, distribution, or commercialization of a vaccine candidate, and we may be unable to obtain regulatory authorization or approval. Additionally, development of an effective vaccine candidate depends on the success of our and our partner’s manufacturing capabilities. In addition, the development and manufacture of inhaled mucosal vaccines may prove to be more complex than the development and manufacture of traditional vaccines. Further, we may be unable to effectively create a supply chain for our vaccines that will adequately support demand. We may also face challenges with sourcing a sufficient amount of raw materials to support the demand for a vaccine. While we are currently collaborating with NIAID for early clinical studies for the OCU500 program, there can also be no assurance that we will be able to obtain the required funding from government agencies or strategic partners for further development of OCU500 or for development of our vaccine candidates, OCU510 and OCU520.</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Due to the end of the COVID-19 public health emergency and decline in vaccination rates, the demand for any COVID-19 vaccine product candidate we develop may decrease significantly.</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May 11, 2023, the United States Department of Health and Human Services announced the COVID-19 public health emergency ended. In addition, the demand for COVID-19 vaccines is becoming more endemic and seasonal. As other companies continue to develop, receive regulatory approval for and commercialize their own COVID-19 vaccines and as demand for such vaccines declines, demand for our COVID-19 product candidates OCU500 and OCU520 may be diminished.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supervise, and monitor our preclinical studies and clinical trials we may initiate, and those third parties may not perform satisfactorily, including failing to meet deadlines for the completion of such trials or failing to comply with regulatory requirements.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third parties, study sites, and others to conduct, supervise, and monitor our preclinical and clinical trials for our product candidates. We expect to continue to rely on third parties, such as CDMOs, clinical data management organizations, medical and scientific institutions, and clinical and preclinical investigators to conduct our preclinical studies and clinical trials. We often have to negotiate budgets and contracts with such third parties, and if we are unsuccessful or if the negotiations take longer than anticipated, this could result in delays to our development timelines and increased costs.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have, or expect to have, agreements governing the activities of such third parties, we will have limited influence and control over their actual performance and activities. Third-party service providers are not our employees, and except for remedies available to us under agreements with such third parties, we cannot control whether or not they devote sufficient time and resources to our preclinical studies or clinical trials. Nevertheless, we will be responsible for ensuring that each of our preclinical studies and clinical trials is conducted in accordance with the applicable protocol and legal, regulatory, and scientific standards, and our reliance on third parties will not relieve us of our regulatory responsibilities. For example, we will remain responsible for ensuring that each of our trials is conducted in accordance with the general investigational plan and protocols for the trial. We must also ensure that our preclinical studies are conducted in accordance with GLP and under current GMP conditions,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trial sponsors, principal investigators, clinical trial sites, and IRBs.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 federal or state fraud and abuse or false claims laws and regulations or healthcare privacy and security laws.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these third parties upon which we depend do not successfully carry out their contractual duties, meet expected deadlines, conduct our preclinical studies or any clinical trials in accordance with regulatory requirements or our stated protocols, if they need to be replaced or if the quality or accuracy of the data they obtain is compromised due to the failure to adhere to our protocols, regulatory requirements, or for other reasons:</w:t>
      </w:r>
    </w:p>
    <w:p>
      <w:pPr>
        <w:spacing w:after="0" w:line="68"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CDMOs, or other third-party collaborators may be subject to regulatory enforcement or other legal actions;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generated in our preclinical studies or clinical trials may be deemed unreliable and our such studies and clinical trials may need to be repeated, extended, delayed, or terminated;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identify new CDMOs with which to partner for the supply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may be delayed in obtaining, marketing approvals for our product candidates;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or may be delayed in our efforts to, successfully commercialize our product candidates, if approved.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preclinical studies or clinical trials will comply with the applicable regulatory requirements. To the extent we are unable to successfully identify and manage the performance of third-party service providers in the future, our business may be materially and adversely affected. As a result, our results of operations and the commercial prospects for our product candidates would be harmed, our costs could increase, and our ability to generate revenues could be delayed.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need to identify and retain alternative CDMOs for any reason during our product development programs,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 product candidates or commercialize our products in a timely manner or within budget. Furthermore, a CDMO may possess technology related to the manufacture of our product candidate that such CDMO owns independently. This would increase our reliance on such CDMO or require us to obtain a license from such CDMO in order to have another CDMO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reliance on third parties for clinical trials will entail additional risks. Our third-party service providers may have relationships with other entities, some of which may be our competitors, for whom they may also be conducting clinical trials or other therapeutic development activities that could harm our competitive position. 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 Lastly, we are required to register certain clinical trials and post the results of certain completed clinical trials on a government-sponsored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specified timeframes. Failure to do so can result in enforcement actions and adverse publicity.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our clinical or preclinical studies might terminate for a variety of reasons, including a failure to perform by the third parties. If any of our relationships with these third parties terminate, we may not be able to enter into arrangements with alternative providers or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intend to carefully manage our relationships with third parties, there can be no assurance that we will not encounter challenges or delays in the future or that these delays or challenges will not have a material adverse impact on our business, financial condition, prospects, and results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also rely on other third parties to store and distribute our product candidates for preclinical purposes or clinical trials that we conduct. Any performance failure on the part of our distributors could delay development, marketing approval, or commercialization of our product candidates, if approved, producing additional losses and depriving us of potential product revenue.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in negotiating commercial manufacturing and supply agreements with third-party manufacturers and suppliers of our product candidates or any product components, our ability to commercialize our product candidates, if approved, would be impaired.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strategic partnership with CanSinoBIO to manufacture our modifier gene therapy pipeline product candidates. Under this agreement, CanSinoBIO is responsible for the CMC development and manufacture of clinical supplies for OCU400, OCU410 and OCU410ST. The agreement also provides commercialization rights to CanSinoBIO in Greater China. This agreement may be adversely affected if the United States government were to impose restrictions related to goods manufactured in or imported from China.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rely on our qualified suppliers and other third parties to manufacture clinical supplies of our product candidates and commercial supplies of our products, if and when approved for marketing by applicable regulatory authorities, as well as for packaging, serialization, storage, distribution, and other production logistics. We, however, may not succeed in our efforts to establish manufacturing relationships or other alternative arrangements for any of our product candidates, components, and programs, or may be unable to do so on commercially favorable terms. If we are unable to enter into such agreements on commercially favorable terms, our future profit margins would be adversely affected and our ability to commercialize any products that receive marketing approval on a timely and competitive basis would be impaired. As a result, our business, financial condition, and results of operations would be materially adversely affected.</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on fail to produce our product candidates or product components pursuant to the terms of contractual arrangements with us or fail to comply with stringent regulations applicable to biotechnology manufacturers, we may face delays in the development and commercialization of, or be unable to meet demand for, our product candidates, if approved, and may lose potential revenues.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third-party contract manufacturers to manufacture some of our pre-clinical product candidate supplies and some of our clinical trial product supplies and, if approved, will rely on third-party contract manufacturers to manufacture some of our commercial product supplies, including all of our drug substance, vialing, labeling, and packaging. We do not own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manufacturing facilities for producing any clinical trial or commercial product supplies. There can be no assurance that our preclinical, clinical development, and, if approved, commercial product supplies will not be limited or interrupted, including as a result of impacts of current macroeconomic and geopolitical events, increasing rates of inflation, rising interest rates, or that our product supplies will be of satisfactory quality or continue to be available at acceptable prices.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with the third parties on which we rely or expect to rely for our preclinical activities and clinical trials, we have agreements governing the activities of our manufacturers but have limited influence and control over their actual performance and activities. Our third-party manufacturers are not our employees, and except for remedies available to us under our agreements with such third parties, we cannot control whether or not they devote sufficient time and resources to our manufacturing requirements. If these third-party manufacturers do not successfully carry out their contractual duties, meet expected deadlines or manufacture our product candidates in accordance with regulatory requirements, and if there are disagreements between us and such parties, clinical development or marketing approval of our product candidates could be delayed.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manufacture of biotechnology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If our manufacturers were to encounter any of these difficulties and were unable to perform as agreed, our ability to provide product candidates to patients in our clinical trials and for commercial use, if approved, would be jeopardized.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all manufacturers of our product candidates and therapeutic substances must comply with current GMP requirements enforced by the FDA that are applicable to both finished products and their active components used for both clinical and commercial supply. The FDA enforces these requirements through its facilities inspection program. Our manufacturers must be approved by the FDA pursuant to inspections that will be conducted after we submit our marketing applications to the agency. Our manufacturers will also be subject to continuing FDA and other regulatory authority inspections should we receive marketing approval. Further, we, in cooperation with our contract manufacturers, must supply all necessary CMC documentation to the FDA in support of a marketing application on a timely basis.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GMP requirements include quality control, quality assurance, and the maintenance of records and documentation. Manufacturers of our product candidates, therapeutic substances, and the active pharmaceutical ingredients necessary to produce our product candidates may be unable to comply with our specifications, current GMP requirements, and with other FDA, state, and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time-consuming for us or a third party to implement and that may include the temporary or permanent suspension of a clinical trial or commercial sales or the temporary or permanent closure of a facility. Any resulting delays in obtaining products, if approved, or product candidates that comply with the applicable regulatory requirements may result in delays to clinical trials, product approvals, and commercialization. It may also require that we conduct additional studies.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are ultimately responsible for the manufacture of our product candidates, other than through our contractual arrangements, we have little control over our manufacturers’ compliance with these regulations and standards. A failure to comply with the applicable regulatory requirements may result in regulatory enforcement actions against our manufacturers or us, including fines and civil and criminal penalties, including imprisonment, suspension or restrictions of production, injunctions, delays, withdrawal or denial of product approval or supplements to approved products, clinical holds or termination of clinical studies, warning or untitled letters, Form 483s, regulatory authority communications warning the public about safety issues with the product, refusal to permit the import or export of the products, product seizure, detention, or recall, operating restrictions, suits under the civil FCA, corporate integrity agreements, or consent decrees. Depending on the severity of any potential regulatory action, our clinical or commercial supply could be interrupted or limited, which could have a material adverse effect on our business.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problems or delays we experience in preparing for commercial-scale manufacturing of a product candidate or component, including manufacturing validation, may result in a delay in FDA approval or commercial launch, if approved, of the product candidate or may impair our ability to manufacture commercial quantities or such quantities at an acceptable cost, which could result in the delay, prevention, or impairment of commercialization of our product candidates and could adversely affect 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 The risks associated with any problems or delays may be greater should the United States government impose restrictions relating to goods manufactured in or imported from China.</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third-party manufacturers may also encounter shortages in the materials necessary to produce our product candidates in the quantities needed for our clinical trials or, if our product candidates are approved, in sufficient quantities for commercialization.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therapeutic substances, or active pharmaceutical ingredients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or our third-party manufacturers' failure to obtain the raw materials, therapeutic substances, or active pharmaceutical ingredients necessary to manufacture sufficient quantities of our product candidates may cause the manufacturers to fail to deliver the required commercial quantities of our product candidates on a timely basis and at commercially reasonable prices. If such failure occurs, we would likely be unable to meet the demand for our products, if approved, and we would lose potential revenues.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number of available, qualified third-party manufactures is limited, and if we are compelled to locate an alternative manufacturing partner, our product development activities and commercialization could be delayed and additional expense would be incurred.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a limited number of manufacturers that operate under current GMP regulations, that are both capable of manufacturing for us and willing to do so, and therefore our product candidates may compete with other products and product candidates for access to manufacturing facilities. Moreover, because our product candidates must be manufactured under sterile conditions, the number of manufacturers who can meet this requirement is even more limited. If our existing third-party manufacturers, or the third parties that we engage in the future to manufacture a product, if approved, or component for commercial sale or for any clinical trials we expect to initiate in the future should cease to continue to do so for any reason (including the termination of our agreements with such manufacturers, which can occur for a variety of reasons, or the bankruptcy of such manufacturers), it would be difficult to obtain a suitable alternative manufacturer. We would likely experience delays in obtaining sufficient quantities of our product candidates for us to meet commercial demand or to advance our clinical trials while we identify and qualify replacement suppliers. Any change in our manufacturers could be costly because the commercial terms of any new arrangement could be less favorable and because the expenses relating to the transfer of necessary technology and processes could be significant.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FDA or a comparable foreign regulatory authority inspects the facilities for the manufacture of our product candidates and finds that they are not in compliance with current GMP regulations now or in the future, we may need to find alternative manufacturing facilities.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 Any such developments would significantly impact our ability to develop, obtain, and maintain regulatory authorization or approval for or market our product candidates, if approved.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available third-party facilities may also be further limited by natural disasters, such as pandemics, floods, fire, or such facilities could face manufacturing issues, such as contamination or regulatory findings following a regulatory inspection of such facility. In such instances, an appropriate replacement third-party relationship may not be readily available to us or on acceptable terms, which would cause additional delays and increased expense and may have a material adverse effect on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collaborate with third parties for the development or commercialization of our product candidates. We may not be successful in establishing or maintaining collaborative relationships, any of which could adversely affect our ability to develop and commercialize our product candidates.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an agreement with CanSinoBIO for the development and commercialization of our modifier gene therapy platform product candidates. In the future, we may seek to enter into additional collaboration arrangements with pharmaceutical or biotechnology companies for the development or commercialization of other product candidates. We may utilize a variety of types of collaboration, distribution, and other marketing arrangements with third parties to develop and commercialize our product candidates, both inside and outside the United States. In particular, we may enter into arrangements with third parties to perform certain services in the United States or other countries if we do not establish our own sales, marketing, and distribution capabilities in such countries, or if we determine that such third-party arrangements are otherwise beneficial. We may also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consider potential collaborative partnership opportunities for sales, marketing, distribution, development, or licensing or broader collaboration arrangements, including with mid-size and large pharmaceutical companies, regional and national pharmaceutical companies, and biotechnology companies.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current and future collaboration arrangements will depend heavily on the efforts and activities of our collaborators. Collaborators generally have significant discretion in determining the efforts and resources that they will apply to collaboration arrangements. Accordingly, with respect to any such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in part on our collaborator's abilities and efforts to successfully perform the functions assigned to them in these arrangements.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Moreover, collaborations with pharmaceutical companies and other third parties are often terminated or allowed to expire. Any such termination or expiration would adversely affect us financially and could harm our business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and future collaborations may pose a number of additional risks, including the following:</w:t>
      </w:r>
    </w:p>
    <w:p>
      <w:pPr>
        <w:spacing w:after="0" w:line="117" w:lineRule="exact"/>
        <w:rPr>
          <w:sz w:val="20"/>
          <w:szCs w:val="20"/>
          <w:color w:val="auto"/>
        </w:rPr>
      </w:pPr>
    </w:p>
    <w:p>
      <w:pPr>
        <w:jc w:val="both"/>
        <w:ind w:left="66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product candidates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 which could subject them or us to regulatory enforcement actions;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or fail to maintain intellectual property rights which they license to us,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our product candidates in the most efficient manner, or at all. If any collaborations do not result in the successful development and commercialization of our product candidates or if one of our collaborators subsequently terminates our agreement with us, we may not receive any future research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funding, milestone, or royalty payments under the collaboration, as applicable. If we do not receive the funding we expect under the agreements, our development of our product candidates could be delayed, and we may need additional resources to develop our product candidates and our product platform. All of the risks relating to product development, regulatory approval, and commercialization described in this report also apply to the activities of our collaborators.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if any collaborator of ours is involved in a business combination, the collaborator might de-emphasize or terminate development or commercialization of any product candidate licensed to them by us. If one of our collaborators terminates its agreement with us, we may find it more difficult to attract new collaborators and our reputation in the business and financial communities could be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we desire to pursue a collaboration agreement but are not able to establish collaborations, we may have to alter our development and commercialization plans and our business could be adversely affected.</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if approved, the potential of competing products, the existence of uncertainty with respect to our ownership of technology, which can exist if there is a challenge to such ownership without regard to the merits of the challenge, and industry and market conditions generally. We may also be restricted under future license agreements from entering into agreements on certain terms with potential collaborators. Collaborations are complex and time-consuming to negotiate and document. Should we desire to pursue a collaboration agreement but are unable to reach agreements with suitable collaborators on a timely basis, on acceptable terms, or at all,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 subject to securities litigation, which is expensive and could divert management attention.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and have been subject to numerous securities class action lawsuits and stockholder derivative claims. See the section of this Annual Report for the fiscal year ended December 31, 2025 entitled "Legal Proceedings."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complaints seek unspecified damages, interest, attorneys' fees, and other costs. We believe that these lawsuits are without merit and intend to vigorously defend against them. At this time, no assessment can be made as to their likely outcome or whether the outcome will be material to us. We may also become subject to additional securities class action lawsuits in the future. This risk is especially relevant for us because life sciences companies have experienced significant stock price volatility in recent years.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defending against these types of claims against us or the ultimate resolution of such claims, whether by settlement or adverse court decision, may divert management’s attention and harm our business. Further, potential claimants may be encouraged to bring lawsuits based on a settlement from us or adverse court decisions against us. We cannot currently assess the likely outcome of such lawsuits, but the commencement and/or resolution of such lawsuits (particularly if the outcome were negative), could have a material adverse effect on our reputation, results of operations, financial condition, and cash flows. They could also cause a decline in the market price of our common stock.</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laws, including fraud, abuse, and health and other information privacy and security laws, we could face substantial penalties and our business, financial condition, results of operations, and prospects could be adversely affected.</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biotechnology company, we are subject to many federal and state healthcare laws, such as the federal Anti-Kickback Statute, the federal civil and criminal FCA, the civil monetary penalties statute, the Medicaid Drug Rebate statute and other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 reporting requirements, the VHCA, HIPAA, the FCPA, the ACA, and similar state laws. We may also be subject to laws regarding transparency and patient privacy. Even though we do not and will not control referrals of healthcare services or bills directly to Medicare, Medicaid, or other third-party payors, certain federal and state healthcare laws, and regulations pertaining to fraud and abuse, reimbursement programs, government procurement, and patients’ rights are and will be applicable to our business. These laws are described in greater detail in the section of this annual report entitled, "Government Regulation - Fraud and Abuse, Data Privacy and Security, and Transparency Laws and Regulations."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may not comply with current or future statutes, regulations, or case law involving applicable fraud, abuse, or other healthcare laws and regulations. If we or our operations are found to be in violation of any federal or state healthcare law, or any other governmental laws or regulations that applies to us, we may be subject to penalties, including civil, criminal, and administrative penalties, damages, fines, imprisonment, disgorgement, suspension and debarment from government contracts, and refusal of orders under existing government contracts, exclusion from participation in the United States federal or state health care programs, corporate integrity agreements, and the curtailment or restructuring of our operations, any of which could materially adversely affect our ability to operate our business and our financial results. Although an effective compliance program can mitigate the risk of investigation and prosecution for violations of these laws, the risks cannot be entirely eliminated. Moreover, achieving and sustaining compliance with applicable federal and state privacy, security, reimbursement, and fraud laws may prove costly. Any action against us for the violation of these laws, even if we successfully defend against it, could cause us to incur significant legal expenses and divert our management’s attention from the operation of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products. In recent years, Congress has considered reductions in Medicare reimbursement levels for products administered by physicians. These measures are described in detail in the section of this annual report entitled, "Government Regulation - Healthcare Reform Measures."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CMS, the agency that administers the Medicare and Medicaid programs, also has authority to revise reimbursement rates and to implement coverage restrictions for some products.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the pharmaceutical industry. The ACA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There have been significant ongoing administrative, executive, and legislative efforts to modify or eliminate the ACA. The ACA has also been subject to challenges in the courts.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passage of the ACA. For example, the Budget Control Act of 2011, among other things, included aggregate reductions to Medicare payments to healthcare providers of up to 2.0% per fiscal year, which in connection with subsequent legislation are extended to 2032 unless additional Congressional action is taken. Further, the American Taxpayer Relief Act of 2012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Inflation Reduction Act of 2022 ("IRA") contains substantial drug pricing reforms, including the establishment of a drug price negotiation program within the United States Department of Health and Human Services that would require manufacturers to charge a negotiated "maximum fair price" for certain selected drugs administered or prescribed to Medicare beneficiaries or pay an excise tax for noncompliance; the establishment of rebate payment requirements on manufacturers of certain drugs payable under Medicare Parts B and D to penalize price increases that outpace inflation; and a requirement that manufacturers to provide discounts on Part D drugs. Substantial penalties can be assessed for noncompliance with the drug pricing provisions in the IRA. The IRA could have the effect of reducing the prices we can charge and reimbursement we receive for our products, if approved, thereby reducing our profitability, and could have a material adverse effect on our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condition, results of operations, and growth prospects. The IRA's drug price negotiation provisions are subject to ongoing constitutional challenges, and the effect of IRA on our business and the biotechnology industry in general is not yet known.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changes to and under the ACA remain possible, but it is unknown what form any such changes or any law proposed to replace or revise the ACA would take, and how or whether it may affect our business in the future. We expect that changes to the ACA, the Medicare and Medicaid programs, changes allowing the federal government to directly negotiate prices and changes stemming from other healthcare reform measures, especially with regard to healthcare access, financing, or other legislation in individual states, could have a material adverse effect on the healthcare industry.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regulatory policies may change, and additional government regulations may be enacted that could prevent, limit or delay regulatory approval of our product candidates.</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United States Supreme Court’s June 2024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overturned the longstanding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under which courts were required to give deference to regulatory agencies’ reasonable interpretations of ambiguous federal statutes.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adoption of new requirements or policies, or if we are not able to maintain regulatory compliance, our business could be materially harmed.</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CDMOs may engage in misconduct or other improper activities, including noncompliance with regulatory standards and requirements, which could have a material adverse effect on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CDMOs could include intentional, reckless, negligent, or unintentional failures to (i) comply with FDA regulations or other similar regulatory requirements, (ii) comply with manufacturing standards, including current GMP requirements, (iii) comply with applicable fraud and abuse laws, (iv) comply with federal and state data privacy, security, fraud and abuse, and other healthcare laws and regulations in the United States and abroad, (v) provide accurate information to the FDA, (vi) properly calculate pricing information required by federal programs, (vii) comply with federal procurement rules or contract terms, (viii) report financial information or data accurately, or (ix) disclose unauthorized activities to us. This misconduct could also involve the improper use or misrepresentation of information obtained in the course of clinical trials, which could result in regulatory sanctions and serious harm to our reputation.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or be precluded from developing, manufacturing, and selling certain products outside the United States, which could adversely affect our business, results of operations, and financial condition.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anti-corruption laws, including the Bribery Act, the FCPA, and other anti-corruption laws that apply to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Compliance with the FCPA, in particular, is expensive and difficult, particularly in countries in which corruption is a recognized problem.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We are also subject to other laws and regulations governing our international operations, including regulations administered by the governments of the United Kingdom, the United States, Canada,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the United States exchanges for violations of the FCPA’s accounting provisions. Any investigation of any potential violations of the Bribery Act, the FCPA, other anti-corruption laws or Trade Control laws by U.K., the United States, or other authorities could also have an adverse impact on our reputation,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As with all patent prosecution, there is no guarantee of obtaining and maintaining patent protection for our technology and product candidates. In addition, there is no guarantee that the scope of the patent protection obtained is sufficiently broad or enforceable, to prevent our competitors from developing and commercializing technology and products similar or identical to ours. Furthermore, our ability to successfully commercialize our technology and product candidates may be impaired due to circumstances that may be out of our control.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protection in the United States and other countries, with respect to our proprietary technology and product candidates. We have sought to protect our proprietary position by filing in the United States and in certain foreign jurisdictions, patent applications related to our technologies and product candidates.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have filed, maintained, or prosecuted and may not be able to file, maintain, and prosecute all necessary or desirable patents or patent applications at a reasonable cost or in a timely manner. In some cases, we may not be able to or it may be difficult to timely identify patentable aspects of our research and development output to obtain patent protection.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uncertain, involves complex legal and factual questions, and has in recent years been the subject of much litigation. As a result, the issuance, scope, validity, enforceability, and commercial value of our patent rights are uncertain. Our pending and future patent applications may fail to result in issued patents in the United States or in other foreign countries which may impact protection of our technology or product candidates. Even if patents are issued, they may not prevent others from commercializing competitive technologies and products. In addition, the laws of foreign countries may not protect our rights to the same extent as the laws of the United States, and because the standards applied by the USPTO and foreign patent offices in granting patents are not always applied uniformly or predictably. In addition, unlike patent law in the United States, foreign patent laws impose substantial restrictions on the scope of claims it will grant. For example, patent laws in many Asian countries, and Europe do not allow patenting methods of treatment of the human body. In addition, unlike the United States the European Patent Office typically limits the claims to those commensurate in scope with specifically disclosed embodiments.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whether we or our licensors were the first to make the inventions claimed in our owned or licensed patents or pending patent applications, or that we or our licensors were the first to file for patent protection of such inventions. Databases for patents and publications, and methods for searching them, are inherently limited so we may not know the full scope of all issued and pending patent applications. As a result, the issuance, scope, validity, enforceability, and commercial value of our patent rights are uncertain. Our pending and future patent applications that are intended to protect our technology or product candidates may not result in patents being issued in whole or in part. Furthermore, even if patents do issue, they may not effectively prevent others from commercializing competitive technologies and products. During prosecution of any patent application, the issuance of any patents based on the application may depend upon our ability to generate additional preclinical or clinical data that support the patentability of our proposed claims. We may not be able to generate sufficient additional data on a timely basis, or at all. Moreover, changes in either the patent laws or interpretation of the patent laws in the United States and other countries may diminish the value of our patents or narrow the scope of our patent protection.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for our proprietary technology and product candidates, prevent competitors from competing with us, or otherwise provide us with any competitive advantage. Our competitors may be able to circumvent our owned or licensed patents by developing similar or alternative technologies or products in a non-infringing manner. In some instances, we may need to license additional patents and trade secrets to commercialize our product candidates in certain territories.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our inventorship, ownership, scope, validity, or enforceability, and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2011, the Leahy-Smith America Invents Act (the "Leahy-Smith Act") was signed into law. The Leahy-Smith Act includes a number of significant changes to the United States patent law. These include provisions that affect the way patent applications are prosecuted and may also affect patent litigation. The USPTO instituted new regulations and procedures to govern administration of the Leahy-Smith Act, and many of the substantive changes to patent law associated with the Leahy-Smith Act, and in particular, the first to file provisions, became effective in 2013. The first to file provisions limit the rights of an inventor to patent an invention if the inventor is not the first to file an application for patenting that invention. The Leahy-Smith Act and its implementation could increase the uncertainties and costs surrounding the prosecution of our patent applications and the enforcement or defense of our issued patents, which may have a material adverse effect on our business, financial condition, results of operations, and prospects. For example, the Leahy-Smith Act created a new administrative tribunal known as the Patent Trial and Appeals Board ("PTAB"), that provides a venue for any third parties to challenge the validity of patents at a cost that is significantly lower than district court litigation and on timelines that are much faster. Although it is not clear what, if any, long term impact the PTAB proceedings will have on the operation of our business, since the inception of PTAB in 2013 there has been a significant increase in challenges to issued patents and invalidation of many United States patents. The availability of the PTAB as a lower-cost, faster, and potentially more potent tribunal for challenging patents may therefore increase the likelihood that our own patents will be challenged, thereby increasing the uncertainties and costs of maintaining, defending, and enforcing them.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patent term extension in the United States under the Hatch-Waxman Act and in foreign countries under similar legislation, our business may be materially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of the United States patents covering each of such product candidates or the use thereof may be eligible for up to five years of patent term extension under the Hatch-Waxman Act. The Hatch-Waxman Act allows a maximum of one patent to be extended per FDA approved product to account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term of any such extension is less than our request, the period during which we will have the right to exclusively market our product will be shortened. In such cases, our competitors will likely obtain approval of competing products sooner than we might have anticipated, and our revenue could be impacted.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possible that we will not obtain patent term extension under the Hatch-Waxman Act for a United States patent covering one of our product candidates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rights to owned and licensed patents, trade secrets, or other intellectual property. As a result, to discourage, prevent, or counter infringement, misappropriation, or unauthorized use, we may be required to file infringement or misappropriation claims or other intellectual property related proceedings, which can be expensive and time-consuming. Any claims we assert against perceived infringers could provoke such parties to assert counterclaims against us alleging that we infringed their patents or that our asserted patents are invalid. In addition, in a patent infringement or other intellectual property related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 Furthermore, because of the substantial amount of discovery required in connection with intellectual property litigation, there is a risk that some of our confidential information or trade secrets could be compromised by disclosure during this type of litigation.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subject to a third-party pre-issuance submission of prior art to the USPTO or become involved in other contested proceedings such as opposition, derivation, reexamination, inter partes review, post-grant review, or interference proceedings in the United States or elsewhere, challenging our patent rights or the patent rights of others. An adverse determination in any such submission, proceeding, or litigation could invalidate or reduce the scope of our patent rights, allow third parties to commercialize our technology or product candidates and compete directly with us, without payment to us, or result in our inability to manufacture or commercialize products without infringing third-party patent rights. In addition, if the breadth or strength of protection provided by our intellectual property is threatened, it could dissuade companies from collaborating with us to license, develop, or commercialize current or future product candidates.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the FDA does not prohibit clinicians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or otherwise violating the intellectual property and other proprietary rights of third parties. There is a considerable amount of intellectual property litigation in the biotechnology and pharmaceutical industries. We may become party to, or threatened with, claims by a third party for use, misappropriation, or infringement of their intellectual property rights regarding our products and technology. Claims of use, misappropriation, or infringement of intellectual property rights may arise from competitors or even from entities that may have patents but do not use or practice their patent. Our own patent portfolio may have no deterrent effect on entities that do not use or practice their own patent. Moreover, we may become party to future adversarial proceedings or litigation regarding our patent portfolio or the patents of third parties. Such proceedings could also include contested post-grant proceedings such as oppositions, inter partes review, reexamination, interference, or derivation proceedings before the USPTO or foreign patent offices.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even lawsuits or proceedings with a low probability of success might be initiated by a third party, which will require significant resources from us to defend. Litigation and contested proceedings can be expensive and time-consuming, and our adversaries in these proceedings may have the ability to dedicate substantially greater resources to prosecuting these legal actions than we do. The risks of being involved in such litigation and proceedings may increase as our product candidates near commercialization and as we gain the greater visibility associated with being a public company. Third parties may assert infringement claims against us based on existing patents or patents that may be granted in the future. We may not be aware of all such intellectual property rights potentially relating to our product candidates and their uses.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Thus, we do not know with certainty that any of our product candidates, or our development and commercialization thereof, do not and will not infringe or otherwise violate any third party’s intellectual property.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are found to infringe or otherwise violate a third party’s intellectual property rights, we could be required to obtain a license from such third party to continue developing and marketing its products and technology. However, we may not be able to obtain any required license on commercially reasonable terms or at all. Even if we are able to obtain a license, it could be non-exclusive, thereby giving our competitors access to the same technologies licensed to us and could require us to make substantial licensing and royalty payments. We could be forced, including by court order, to cease commercializing or practicing the infringing technology or product. In addition, we could be found liable for monetary damages, including treble damages and attorneys’ fees if we are found to have willfully infringed a patent, and could be forced to indemnify our customers or collaborators. A finding of infringement could also result in an injunction that prevents us from commercializing our product candidates or forces us to cease some of our business operations, which could materially harm our business. In addition, we may be forced to redesign our product candidates, seek new regulatory approvals, and indemnify third parties pursuant to contractual agreements. Claims that we have misappropriated confidential information or trade secrets of third parties could also have negative impact on our business.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renewal, and annuity fees on any issued patent and pending patent applications must be paid to the USPTO and foreign patent agencies in several stages or annually over the lifetime of our owned and 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If we or our licensors fail to maintain the patents and patent applications covering our product candidates, it would have a material adverse effect on our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aspects of our product candidates are protected by patents exclusively licensed from other companies or institutions. If these licensors terminate their agreements with us or fail to maintain or enforce the underlying patents or licenses thereto, or we otherwise lose our rights to these patents, our competitive position and our market share in the markets for any of our licensed and approved products will be harmed.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substantial portion of our patent portfolio is in-licensed. As such, we are party to license agreements and certain aspects of our business depend on patents and/or patent applications owned by other companies or institutions. For example, we hold exclusive licenses for patent families relating to OCU400, OCU410, OCU410ST, and OCU200, and an exclusive license in the United States, Europe, Japan, South Korea, Australia, China, Hong Kong and Canada with respect to a mucosal COVID-19 vaccine.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CU Agreement, which primarily relates to OCU200, we are responsible for and control the patent prosecution of all patent families licensed under the CU Agreement.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SERI Agreement, which relates to NHR genes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xml:space="preserve">, NR2E3 (OCU400),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(OCU410 and OCU410ST), </w:t>
      </w:r>
      <w:r>
        <w:rPr>
          <w:rFonts w:ascii="Times New Roman" w:cs="Times New Roman" w:eastAsia="Times New Roman" w:hAnsi="Times New Roman"/>
          <w:sz w:val="18"/>
          <w:szCs w:val="18"/>
          <w:i w:val="1"/>
          <w:iCs w:val="1"/>
          <w:color w:val="auto"/>
        </w:rPr>
        <w:t>NUPR1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NR2C1</w:t>
      </w:r>
      <w:r>
        <w:rPr>
          <w:rFonts w:ascii="Times New Roman" w:cs="Times New Roman" w:eastAsia="Times New Roman" w:hAnsi="Times New Roman"/>
          <w:sz w:val="18"/>
          <w:szCs w:val="18"/>
          <w:color w:val="auto"/>
        </w:rPr>
        <w:t>, from and after December 19, 2017, we have the right to assume responsibility and control patent prosecution of licensed patent families relating to these NHR genes. Additionally, we are responsible for and control patent prosecution for any patent applications developed in connection with the SERI Agreement filed after December 19, 2017 that are owned jointly by us and SERI, or solely by us.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WU Agreement, which relates to mucosal COVID-19 vaccines, Washington University maintains control of patent preparation, filing, prosecution, and maintenance, subject to our right to negotiate with WU after the first anniversary of the effective date of the WU Agreement to assume responsibility for and control of the prosecution and maintenance of the patent rights throughout the Mucosal Vaccine Territory in Washington University's name.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rights with respect to in-licensed patents and patent applications may be lost if the applicable license agreement expires or terminates. We are likely to enter into additional license agreements to in-license patents and patent applications as part of the development of our business in the future, under which we may not retain control of the preparation, filing, prosecution, maintenance, enforcement, and defense of such patents. If we are unable to obtain and maintain licenses to these patents and patent applications for any reason, our ability to develop and commercialize our product candidates may be materially harmed.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licensors may not successfully prosecute certain patent applications, the prosecution of which they control, under which we are licensed and on which our business depends. Even if patents are issued from these applications, our licensors may fail to maintain these patents, may decide not to pursue litigation against third-party infringers, may fail to prove infringement, or may fail to defend against counterclaims of patent invalidity or unenforceability. In some cases, our licensors may in-license certain patents licensed to us. If our licensors were to fail to maintain such licenses, we may need to obtain additional licenses with respect to the applicable product candidates.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Risks with respect to parties from whom we have obtained intellectual property rights may also arise out of circumstances beyond our control. In spite of our best efforts, our licensors might conclude that we have materially breached the license agreements and might therefore terminate the license agreements, thereby removing our ability to market products covered by these license agreements. If our license agreements are terminated, or if the underlying patents fail to provide the intended market exclusivity, such termination or failure may severely impact our business. Moreover, if our license agreements are terminated, our former licensors and/or assignors may be able to prevent us from utilizing the technology covered by the licensed patents and patent applications. This could have a materially adverse effect on our competitive business position and our business prospects.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own or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non-United States manufacturers.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the licenses or intellectual property rights that we own have been generated through the use of the United States government funding and may therefore be subject to certain federal regulations under the Bayh-Dole Act. To the best of our knowledge, our intellectual property for OCU400, OCU410, and OCU410ST for the treatment of RP, GA, and ST is subject to the Bayh-Dole Act. As a result, the United States government may have certain rights to intellectual property embodied in these patents and patent applications. In general, the Bayh-Dole Act provides the United States government certain rights in inventions developed using a government funded program, such as the United States government’s right to a non-exclusive, non-transferable, irrevocable worldwide license to use inventions for any governmental purpose. In addition, under the Bayh-Dole Act, the United States government has the right to require any invention developed using the United States government funding to be granted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(“march-in rights”). Under the Bayh-Dole Act, the United States government also has the right to take title to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inventions developed using a United States government funded program, if one fails to disclose the invention to the government and fails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In addition, the Bayh-Dole Act requires that any products subject to the Bayh-Dole Act be manufactured substantially in the United States. However, under the Bayh-Dole Act, this manufacturing preference requirement can be waived if the owner of the intellectual property can show that reasonable efforts to manufacture the product substantially in the United States were unsuccessful, or that under the circumstances, domestic manufacture is not commercially feasible. Any exercise by the government of any of the foregoing rights under the Bayh-Dole Act may affect our competitive position, business, financial condition,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agreements under which we license certain of our patent rights and a significant portion of the technology for our product candidates impose royalty and other financial obligations and other performance obligations. We may also enter into additional licensing and funding arrangements with third parties that may impose diligence, development, and commercialization timelines and milestone payment, royalty, insurance, and other obligations. If we fail to comply with our obligations under current or future license and collaboration agreements, our counterparties may have the right to terminate these agreements, in which event we might not be able to develop, manufacture, or market any product that is covered by these agreements or may face other penalties under the agreements. Such an occurrence could diminish the value of our products and product candidates. Termination of these agreements or reduction or elimination of our rights under these agreements may result in us having to negotiate new or reinstated agreements with possibly less favorable terms or cause us to lose our rights under these agreements, including our rights to important intellectual property or technology.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as with any agreements certain provisions in such agreements may be susceptible to different interpretations by the parties.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the U.S. and foreign jurisdictions could result in substantial costs and divert our efforts and attention from other aspects of our business, could put our patents at risk of being invalidated or interpreted narrowly, could put our patent applications at risk of not being issued,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misappropriation of their intellectual property or claiming ownership of what we regard as our own intellectual property.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and our licensors’ employees and contractors were previously employed at other biotechnology, medical device, or pharmaceutical companies, including our competitors or potential competitors. Although we try to ensure that our employees and contractors do not use the proprietary information or know-how of their prior employer(s) in their work for us, we may be subject to claims that these individuals or we have used or disclosed intellectual property, including trade secrets or other proprietary information, of any such employee’s former employer. Litigation may be necessary to defend against these claims.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Furthermore, we are unable to control whether our licensors have obtained similar assignment agreements from their own employees and contractors. Our and their assignment agreements may not be self-executing or may be breached, and we or our licensors may be forced to bring claims against third parties, or defend claims they may bring against us, to determine the ownership of what we regard as our intellectual property.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or our licensors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may not be available on commercially reasonable terms or may be barred from commercializing out technology or products. Even if we are successful in prosecuting or defending against such claims, litigation could result in substantial costs and be a distraction to management.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patent litigation or other proceedings could have an adverse effect on our ability to compete in the marketplace.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seeking patents for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many jurisdictions, both foreign and domestic, are less willing or unwilling to protect trade secrets. If any of our trade secrets were to be lawfully obtained or independently developed by a competitor, we would have no right to prevent them, or those to whom they communicate it,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using that technology or information to compete with us. If any of our trade secrets were to be disclosed to or independently developed by a competitor, our competitive position would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issued a substantial number of warrants and equity awards from our equity plans which are exercisable into shares of our common stock which could result in substantial dilution to the ownership interests of our existing stockholders.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approximately 10.9 million shares of our common stock were reserved for issuance upon exercise of outstanding common stock purchase warrants. Additionally, 16.5 million shares of our common stock were reserved for issuance upon the exercise of outstanding stock options, and the vesting of restricted stock units and performance stock units. The exercise or vesting of these securities will result in a significant increase in the number of outstanding shares and substantially dilute the ownership interests of our existing stockholders. The shares underlying the equity awards from our equity plans are or expected to be registered on a Form S-8 registration statement. As a result, upon exercise of stock options and vesting of restricted stock units and performance stock units, these shares can be freely exercised and sold in the public market upon issuance, subject to volume limitations applicable to affiliates. The exercise or vesting of such awards, as applicable of and the subsequent sale of the underlying common stock could cause a decline in our stock price.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sales of a substantial number of the shares and/or the exercise and sale of a substantial number of the common stock purchase warrants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the price of our common stock. The sale, or the availability for sale, of a large number of shares of our common stock in the public market could cause the price of our common stock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the Loan and Security Agreement precludes us from paying cash dividends and future debt or other financing arrangements may contain terms prohibiting or limiting the amount of dividends that may be declared or paid on our common stock. Any return to stockholders will therefore be limited to the appreciation of their stock. Accordingly, you may have to sell some or all of your shares of our common stock in order to generate cash flow from your investment. There is no guarantee that the common stock will appreciate in value or even maintain the price at which stockholders have purchased their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common stock by our stockholders in the public market could cause our stock price to fall.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common stock in the public market, the market price of our common stock could decline. We had 327.9 million shares of common stock outstanding as of February 24, 2026, which were all freely tradable, without restriction, in the public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substantial number of shares of common stock are sold, or if it is perceived that they will be sold, in the public market, the market price of our common stock could decline and we are unable to predict the effect that sales may have on the prevailing market price of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 laws contain provisions that could significantly reduce the value of our shares to a potential acquiror or delay or prevent changes in control or changes in our management without the consent of our Board. The provisions in our charter documents include the following:</w:t>
      </w:r>
    </w:p>
    <w:p>
      <w:pPr>
        <w:spacing w:after="0" w:line="68" w:lineRule="exact"/>
        <w:rPr>
          <w:sz w:val="20"/>
          <w:szCs w:val="20"/>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unless the Board grants such right to the stockholders, to elect a director to fill a vacancy created by the expansion of the Board or the resignation, death, or removal of a director, which prevents stockholders from being able to fill vacancies on our Board;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removal of directors without cause due to the classified Board;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 laws without obtaining stockholder approval;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adopt, amend, or repeal our amended and restated bylaws or repeal certain provisions of our amended and restated certificate of incorporation;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or the Board,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("DGCL").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sixth amended and restated certificate of incorporation, as amended,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sixth amended and restated certificate of incorporation, as amended, provides that, unless we consent in writing to the selection of an alternative forum,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This exclusive forum provision would not apply to suits brought to enforce any liability or duty created by the Securities Act of 1933, as amended, or any other claim for which the federal courts have exclusive jurisdiction.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must continue to satisfy Nasdaq continued listing requirements, including, among other things, certain corporate governance requirements and a minimum closing bid price requirement of $1.00 per share. Under Nasdaq Listing Rule 5550(a)(2) ("Rule 5550(a)(2)"), if a company fails for 30 consecutive business days to meet the $1.00 minimum closing bid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price requirement, Nasdaq will send a deficiency notice to the company, advising that it has been afforded a "compliance period" of 180 calendar days to regain compliance with the applicable requirements.</w:t>
      </w:r>
    </w:p>
    <w:p>
      <w:pPr>
        <w:spacing w:after="0" w:line="1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December 2024, we received a deficiency letter from Nasdaq notifying us that we were not in compliance with Nasdaq Listing Rule 5550(a)(2). On July 28, 2025, we received written notice from Nasdaq stating that we had regained compliance with Rule 5550(a)(2). However, we can provide no assurance that we will be able to remain in compliance with Rule 5550(a)(2) other Nasdaq continued listing requirements. A delisting of our common stock from Nasdaq could materially reduce the liquidity of our common stock, impairing your ability to sell or purchase shares of our common stock when you wish to do so, and could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 In the event of a delisting, we can provide no assurance that any action taken by us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 price has been, and will likely continue to be volatile. The stock market in general and the market for stock of biotechnology companies in particular have experienced extreme volatility that has often been unrelated to the operating performance of particular companies. As a result of this volatility, investors may not be able to sell their common stock at or above their purchase price. The market price for our common stock may be influenced by those factors discussed in this "Risk Factors" section and many others, including:</w:t>
      </w:r>
    </w:p>
    <w:p>
      <w:pPr>
        <w:spacing w:after="0" w:line="7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subjects in our ongoing and planned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preclinical studies, and the results of trials of our competitors or those of other companies in our market sector;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of our product candidates, or limitations to specific label indications or patient populations for use, or changes or delays in the regulatory review process;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any of our products, competing biologics, or gene therapy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especially in light of current reforms to the United States healthcare system;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acquire, license, or develop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ours;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insiders and stockholders or the perception that such sales could occur;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 over financial reporting;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including major changes in our board or management;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market conditions, and other events or factors, many of which are beyond our control.</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biotechnology companies following periods of volatility in the market prices of these companies' stock. Such litigation, including the litigation instituted against us in our current class action lawsuits, could cause us to incur substantial costs and divert management's attention and resources, which could have a material adverse effect on our business, financial condition, and results of operations. See the section of this Annual Report for the fiscal year ended December 31, 2025 entitled, "Legal Proceedings."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We currently have research coverage by six securities and industry analysts. If one or more of the analysts who currently or in the future may cover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Shankar Musunuri, Ph.D., MBA, our Chief Executive Officer, Chairman of the Board, and Co-Founder,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legal, financial,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manufacturing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clinical, regulatory affairs, manufacturing, sales, marketing, and distribution. To manage our anticipated future growth, we must continue to implement and improve our managerial, operational, and financial systems, expand our facilities, and continue to recruit and train additional qualified personnel. Our management may need to devote a significant amount of our attention to managing these growth activities. Due to our limited financial resources and our limited experience in managing such anticipated growth, we may not be able to effectively manage the expansion of our operations or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of 2002 ("Sarbanes-Oxley"), the Dodd-Frank Wall Street Reform, the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have had to hire additional accounting, finance, and other personnel in connection with our efforts to comply with the requirements of being a public company and our management and other personnel devote a substantial amount of time towards maintaining compliance with these requirements. These requirements increase our legal and financial compliance costs and make some activities more time-consuming and costly.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are applicable to us.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these requirements divert the attention of our management and personnel from other business concerns, they could have a material adverse effect on our business, financial condition, and results of operations. The increased costs could impact our results of operations and may require us to reduce costs in other areas of our business or increase the prices of our products or services. For example, these rules and regulations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agents coverage and our commercial general liability policy specifically excludes coverage for damages and fines arising from biological agents. Accordingly,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our operating costs could increase and management's attention could be diverted from executing our business strategy, investors may lose confidence in our financial reporting, and the trading price of our common stock may decline.</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Pursuant to Section 404 of Sarbanes-Oxley, our management is required to report upon the effectiveness of our internal control over financial reporting. This assessment includes disclosure of any material weaknesses identified by our management in internal control over financial reporting. The rules governing the standards that must be met for management to assess our internal control over financial reporting are complex and require significant documentation, testing, and possible remediation. If we are unable to conclude that our internal control over financial reporting is effective, investors may lose confidence in our financial reporting and the trading price of our common stock may decline.</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part of our annual review of the effectiveness of our internal control over financial reporting as of December 31, 2025, management has concluded that our internal control over financial reporting was effective. Although we previously identified a material weakness based on our determination that certain previously issued consolidated financial statements should no longer be relied upon and that such financial statements should be restated, which was first disclosed in our Annual Report on Form 10-K for the year ended December 31, 2023, and was subsequently remediated in the fourth quarter of 2024, as previously reported in our Annual Report on Form 10-K for the year ended December 31, 2024,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continue to implement measures designed to improve our internal controls over financial reporting. Significant additional resources and management oversight may be required to maintain and enhance our disclosure controls and procedures and internal control over financial reporting in response to the determination that we have a material weakness, which could have an adverse impact on our business and operating results. Failure to implement and maintain effective internal control over financial reporting or a material weakness in our internal control over financial reporting could result in an increased probability of fraud, litigation from our shareholders, reduction in our ability to obtain financing, and require additional expenditures to remediate. Additionally, if we are unable to conclude that our internal control over financial reporting is effective,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for our product candidates and may have to limit our commercialization.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of our product candidates for which we obtain regulatory approval, exposes us to the risk of product liability claims. Product liability claims might be brought against us by consumers, healthcare providers, pharmaceutical or biotechnology companies, or others selling or otherwise coming into contact with our products.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ourself against these claims, we will incur substantial liabilities or be required to limit development or commercialization of our product candidates. Even successful defense would require significant financial and management resources. Regardless of merit or eventual outcome, liability claims may result in:</w:t>
      </w:r>
    </w:p>
    <w:p>
      <w:pPr>
        <w:spacing w:after="0" w:line="84" w:lineRule="exact"/>
        <w:rPr>
          <w:sz w:val="20"/>
          <w:szCs w:val="20"/>
          <w:color w:val="auto"/>
        </w:rPr>
      </w:pPr>
    </w:p>
    <w:p>
      <w:pPr>
        <w:ind w:left="5540" w:right="4580" w:hanging="5208"/>
        <w:spacing w:after="0" w:line="923" w:lineRule="auto"/>
        <w:tabs>
          <w:tab w:leader="none" w:pos="65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from decreased demand for our products and/or product candidates;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our stock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revocation of approvals, or labeling, marketing, or promotional restrictions.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currently hold product liability insurance coverage in an amount that we believe is customary for similarly situated companies, the amount of that coverage may not be adequate. We may need to increase our insurance coverage as we continue to conduct our clinical trials. We will need to further increase our insurance coverage if we commence commercialization of any of our product candidates for which we obtain marketing approval. Insurance coverage is increasingly expensive. We may not be able to maintain insurance coverage at a reasonable cost or in an amount adequate to satisfy any liability that may arise. On occasion, large judgments have been awarded in class action lawsuits based on therapeutics that had unanticipated side effects. Our insurance policies also have various exclusions, and we may be subject to a product liability claim for which we have no coverage. A successful product liability claim or series of claims brought against us could cause our stock price to fall and, if judgments exceed our insurance coverage, could decrease our cash and adversely affect our business and our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development collaborators, third-party CDMOs, or other contractors or consultants may fail or suffer cybersecurity incidents, data breaches, or other disruptions, which could result in a material disruption of our product development programs and cause our business and operations to suffer.</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our CDMOs and other contractors and consultants are vulnerable to cybersecurity incidents or data breaches and damage from computer viruses, unauthorized access, ransomware, social engineering attacks (including phishing attacks), natural disasters, terrorism, war, and telecommunication and electrical failures. While we have not experienced any material system failure, accident, or cybersecurity incident or data breach to date, we, like other companies in our industry, have experienced and may in the future continue to experience, threats and cybersecurity incidents relating to our and our third-party vendors' information systems. If a material event were to occur and cause interruptions in our operations, it could result in a material disruption of our business operations and product candidate development and, if any of our product candidates are approved, commercialization programs. Likewise, we intend to rely on third parties to manufacture our product candidates and conduct clinical trials, and similar events relating to their computer systems could also have a material adverse effect on our business and operations. To the extent that any disruption or cybersecurity incident or other data breach were to result in a loss of, or damage to, our data or applications, or inappropriate disclosure of confidential or proprietary information, we could incur liability, the further development and commercialization of our product candidates could be delayed, and our reputation could be harmed. In addition, there are known cyberattacks against biotechnology companies engaged in the development of therapeutic or vaccine products addressing COVID-19.</w:t>
      </w:r>
    </w:p>
    <w:p>
      <w:pPr>
        <w:spacing w:after="0" w:line="2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Additionally, our business processes personal data, including some data related to health. When conducting clinical trials, we face risks associated with collecting trial participants' data, especially health data, in a manner consistent with applicable laws and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our systems using stolen or inferred credentials, computer malware, viruses, spamming, phishing attacks, or other means, and may use such access to obtain personal data. Furthermore, because the techniques used to obtain unauthorized access to, or to sabotage, systems change frequently and often are not recognized until launched against a target, we may be unable to anticipate these techniques or implement adequate preventative measures.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Any failure by us or our service providers, collaborators, consultants, contractors or partners to detect, prevent, respond to or mitigate data breaches or cybersecurity incidents, compromises, or improper access to, use of, or inappropriate disclosure of any of this information or other confidential or sensitive information, including patients’ personal data, or the perception that any such failure has occurred, could result in claims, litigation, regulatory investigations and other proceedings, significant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liability under state, federal and international law, and other financial, legal or reputational harm to us, including class action lawsuits from affected individuals. Further, such failures or perceived failures could result in liability and a material disruption of our development programs and our business operations, which could lead to significant delays or setbacks in our research, delays to commercialization of our product candidates, lost revenues or other adverse consequences, any of which could have a material adverse effect on our business, results of operations, financial condition, prospects and cashflow. For example, the loss or alteration of clinical trial data from future clinical trials could result in delays in our regulatory approval efforts and significantly increase our costs to recover or reproduce the data.</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Cybersecurity incidents or data breaches could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Additionally, applicable laws and regulations relating to privacy, data protection or cybersecurity, external contractual commitments and internal privacy and security policies may require us to notify relevant stakeholders if there has been a cybersecurity incident or data breach, including affected individuals, business partners and regulators. Such disclosures are costly, and the disclosures or any actual or alleged failure to comply with such requirements could lead to a materially adverse impact on the business, including negative publicity, a loss of confidence in our services or security measures by our business partners or breach of contract claims. There can be no assurance that the limitations of liability in our contracts would be enforceable or adequate or would otherwise protect us from liabilities or damages if we fail to comply with applicable data protection laws, privacy policies or other data protection obligations related to information cybersecurity incidents, compromises, or security breaches. Further, although we maintain cyber liability insurance, this insurance may not provide adequate coverage against potential liabilities related to any cybersecurity incident or data breach.</w:t>
      </w:r>
    </w:p>
    <w:p>
      <w:pPr>
        <w:spacing w:after="0" w:line="2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Additionally, the increased prevalence and use of AI may heighten the risk that we may be subject to cybersecurity incidents in the future. If we, or any of our third-party vendors who use AI are compromised, it could have a negative impact to our business through leaks of our confidential information and/or our financial information which could adversely affect our business or reputation or result in legal or regulatory proceedings. Additionally, attempts to disrupt or gain unauthorized access to our and our third-party vendors' information systems from malicious third parties or insider threats may incorporate widely varying and frequently changing tactics, which may be enhanced or facilitated by evolving technologies, such as AI.</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our collection and use of data, which could result in investigations, inquiries, litigation, fines, legislative and regulatory action, and negative press about our privacy and data protection practices.</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be affected by new or additional data protection laws and regulations and face increased scrutiny or attention from regulatory authorities, including various domestic and international privacy and security regulations. The legislative and regulatory landscape for privacy and data protection continues to evolve. In the United States, at the federal level, failing to take appropriate steps to keep consumers’ personal information secure may constitute unfair acts or practices in or affecting commerce in violation of Section 5(a) of the FTC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Through executive and legislative action, the federal government has also taken steps to restrict data transactions involving certain sensitive data categories – including health data, genetic data, and biospecimens – with persons affiliated with China, Russia, and other countries of concern.</w:t>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certain U.S. states have adopted privacy and security laws and regulations that may be more stringent than applicable federal law. For example, the CCPA, which took effect on January 1, 2020, established a comprehensive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 California Privacy Rights Act of 2020 ("CPRA"), effective January 1, 2023, expanded the CCPA's requirements, including expanding consumers’ rights with respect to certain sensitive personal information, broadening the application of the CCPA to personal information of business representatives and employees and establishing a new regulatory agency to implement and enforce the law. While clinical trial data and information governed by HIPAA are currently exempt from the current version of the CCPA, other personal information may be applicable and possible changes to the CCPA may broaden its scope.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Similar laws have been passed in numerous other states. Other states have proposed new privacy laws which,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likelihood that we may be subject to enforcement actions or otherwise incur liability for noncompliance. There are also states that are specifically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regulating health information. For example, Washington’s My Health My Data Act (“WMHMDA”), which went into effect March 31, 2024, regulates the collection and sharing of health information. WMHMDA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have been discussions in the United States Congress of a new comprehensive federal data privacy law to which we may likely become subject, if enacted.</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GDPR in the EU and the UK, which have been incorporated into their respective laws, impose stringent requirements on the processing of health and other sensitive data. These requirements encompass: (i) providing information to individuals regarding data processing activities; (ii) ensuring a legal basis or condition applies to the processing of personal data and, where applicable, obtaining consent from individuals to whom the data processing relates; (iii) responding to data subject requests; (iv) imposing requirements to notify the competent national data protection authorities and data subjects of personal data breaches; (v) implementing safeguards in connection with the security and confidentiality of the personal data; (vi) accountability requirements; and</w:t>
      </w:r>
    </w:p>
    <w:p>
      <w:pPr>
        <w:spacing w:after="0" w:line="3" w:lineRule="exact"/>
        <w:rPr>
          <w:sz w:val="20"/>
          <w:szCs w:val="20"/>
          <w:color w:val="auto"/>
        </w:rPr>
      </w:pPr>
    </w:p>
    <w:p>
      <w:pPr>
        <w:jc w:val="both"/>
        <w:ind w:firstLine="8"/>
        <w:spacing w:after="0" w:line="255" w:lineRule="auto"/>
        <w:tabs>
          <w:tab w:leader="none" w:pos="3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certain measures when engaging third-party processors. In the event that we are subject to or affected by privacy and data protection laws, including the CCPA, CPRA, or GDPR and other domestic or international privacy and data protection laws, we may expend significant resources to comply with such laws, and any liability from failure to comply with the requirements of these laws could adversely affect our financial condition.</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1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use and integrate AI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AI technologies. Moreover, algorithms may be flawed; data sets may be insufficient, of poor quality, or contain biased information; and inappropriate or controversial data practices by data scientists, engineers, and end-users could impair results. If the analyses that AI applications assist in producing are deficient or inaccurate or if we enable or offer solutions that draw controversy due to perceived or actual negative societal impact, we may experience brand or reputational harm, competitive harm or legal liability.</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use of certain AI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artificial intelligence tools. Additionally, we expect to see increasing government and supranational regulation related to AI use and ethics, which may also significantly increase the burden and cost of research, development and compliance in this area. For example, the EU, began implementing the Artificial Intelligence Act (“AI Act”) on August 1, 2024, with a significant part of the law scheduled to come into effect in August 2026. As currently enacted, the AI Act, which may be amended as part of the EU's Digital Omnibus, imposes significant obligations on providers and deployers of high-risk AI systems, and encourages providers and deployers of AI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U.S., the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If we develop or use AI systems that are governed by these laws or regulations we will need to meet higher standards of data quality, transparency, and human oversight, and we could need to adhere to specific and potentially burdensome and costly ethical, accountability, and administrative requirements. We may also be subject to significant enforcement or litigation in the event of any perceived non-compliance.</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research, product candidates, and the diseases those product candidates and investigational medicines are being developed to treat. Social media practices in the biotechnology industry and the FDA's regulation of social media continues to evolve. This evolution creates uncertainty and risk of noncompliance with regulations applicable to our business, resulting in potential regulatory actions against us. For example, our employees or agents may use social media channels to inadvertently provide inaccurate or misleading information about our product candidates. If regulators become aware of such disclosures, they may take administrative or enforcement action against us. There is also a risk that third parties will use social media to disseminate inaccurate or misleading information about us or our product candidates. If this occurs, we may not be able to adequately defend our business or the public's perception of us or our product candidates, particularly given restrictions on what we may say about our product candidates prior to FDA approval. If any of these events were to occur or we otherwise fail to comply with applicable regulations, we could incur liability, face regulatory actions, or incur other harm to our business.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expectations around corporate responsibility practices, specifically related to environmental, social and governance ("ESG") matters, may expose us to reputational and other risks.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Investors, stockholders, customers, suppliers and other third parties are increasingly focusing on ESG and corporate social responsibility endeavors and reporting. Certain institutional investors, investment funds, other influential investors, customers, suppliers and other third parties are also increasingly focused on ESG practices. Companies that do not adapt to or comply with the evolving investor or stakeholder expectations and standards, or which are perceived to have not responded appropriately, may suffer from reputational damage and result in the business, financial condition, and/or stock price of a company being materially and adversely affected. Further, this increased focus on ESG issues may result in new regulations and/or third party requirements that could adversely impact our business, or certain shareholders reducing or eliminating their holdings of our stock. Additionally, an allegation or perception that we have not taken sufficient action in these areas could negatively harm our reputation.</w:t>
      </w:r>
    </w:p>
    <w:p>
      <w:pPr>
        <w:spacing w:after="0" w:line="19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and expect to continue to be a “smaller reporting company” as defined in the Exchange Act, and have elected and expect to continue to elect to take advantage of certain of the scaled disclosures available to smaller reporting companies, including reduced disclosure obligations regarding executive compensation.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and expect to continue to be a “smaller reporting company” as defined in the Exchange Act and have elected and expect to continue to elect to take advantage of certain of the scaled disclosures available to smaller reporting companies, including reduced disclosure obligations regarding executive</w:t>
      </w:r>
    </w:p>
    <w:p>
      <w:pPr>
        <w:jc w:val="both"/>
        <w:spacing w:after="0" w:line="242" w:lineRule="auto"/>
        <w:rPr>
          <w:sz w:val="20"/>
          <w:szCs w:val="20"/>
          <w:color w:val="auto"/>
        </w:rPr>
      </w:pPr>
      <w:r>
        <w:rPr>
          <w:rFonts w:ascii="Times New Roman" w:cs="Times New Roman" w:eastAsia="Times New Roman" w:hAnsi="Times New Roman"/>
          <w:sz w:val="18"/>
          <w:szCs w:val="18"/>
          <w:color w:val="auto"/>
        </w:rPr>
        <w:t>compensation. These exemptions and reduced disclosures in our SEC filings due to our status as a smaller reporting company also mean our auditors are not required to audit our internal control over financial reporting for so long as we report less than $100 million in annual revenues for the most recent fiscal year and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common stock price may be more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volatile. We will remain a smaller reporting company until our public float exceeds $250 million or our annual revenues exceed $100 million with a public float greater than $700 million.</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Risk Management and Strategy</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regularly assess, identify, and manage risks from cybersecurity threats as an integral part of our overall enterprise risk management (ERM) program. Our cybersecurity policies, processes, and practices include ongoing monitoring of information systems for vulnerabilities, periodic testing, in-house employee training and case discussions, and the use of advanced security tools designed to detect, prioritize, escalate, investigate, resolve, and recover from incidents in a timely manner.</w:t>
      </w:r>
    </w:p>
    <w:p>
      <w:pPr>
        <w:spacing w:after="0" w:line="19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To evaluate how effective our cybersecurity prevention and response mechanisms are, we partner with external organizations such as cybersecurity assessors, consultants, and specialists. Their expertise enables us to pinpoint, confirm, and validate cybersecurity risks, as well as support the creation and implementation of mitigation strategies when required. By utilizing these systems and expert guidance, we can detect threats, determine their severity, and address possible repercussions by preventing breaches and relying on vendors who advise us on optimal risk management practices. These external parties and systems form a crucial part of our enterprise risk management framework for cybersecurity. Additionally, we have established a due diligence protocol to monitor and identify significant risks arising from our relationships with third-party vendors, including those providing cybersecurity services, to ensure we manage all threats related to their involvement appropriately.</w:t>
      </w:r>
    </w:p>
    <w:p>
      <w:pPr>
        <w:spacing w:after="0" w:line="1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To date, we have not experienced any cybersecurity incidents that have materially affected, or are reasonably likely to materially affect, our company, including our business strategy, results of operations, or financial condition. Refer to “Item 1A. Risk Factors” in this Annual Report, including the risk factor titled “Our internal computer systems or those of our development collaborators, third-party CDMOs, or other contractors or consultants may fail or suffer cybersecurity incidents, data breaches, or other disruptions, which could result in a material disruption of our product development programs and cause our business and operations to suffer,” for additional discussion of cybersecurity-related risks.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Governance</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Our Associate Vice President of IT &amp; Facilities is responsible for overseeing the cybersecurity risk management program. He has over 20 years of IT management, cybersecurity, and information governance experience. In order to monitor and appropriately escalate cybersecurity risks (including with respect to cybersecurity incidents), our Associate Vice President of IT &amp; Facilities receives reports on a monthly basis, and more frequently as appropriate, from our third-party cybersecurity vendor.</w:t>
      </w:r>
    </w:p>
    <w:p>
      <w:pPr>
        <w:spacing w:after="0" w:line="19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Board's role in risk oversight is consistent with our leadership structure, with management having day-to-day responsibility for assessing and managing our risk exposure and our Board actively overseeing the management of our risks both at the Board and Committee level. The Board conducts its risk oversight by receiving reports from each of the Committees and our executive officers regarding our risk identification, risk management, and risk mitigation strategies with respect to areas of potential material risk, including cybersecurity risk. The Board has delegated to the Audit Committee of the Board primary responsibility for overseeing risks from cybersecurity threats. Our Associate Vice President of IT &amp; Facilities briefs the Board of Directors on our cybersecurity risk management program on a quarterly basis, using risk assessment reports from our third-party cybersecurity vendor. The briefing includes discussion of management’s actions to identify and detect threats, as well as planned actions in the event of a response or recovery situation.</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properties are located in Malvern, Pennsylvania and other locations, including our corporate headquarters, which consist of approximately 28,488 square feet of leased office space, and our current GMP facility, which consists of approximately 16,401 square feet of laboratory and future manufacturing space. Our corporate headquarters has a lease term of approximately seven years and includes options to extend the lease for up to 10 years, which we have not elected to account for since it is not reasonably certain that we will exercise such option. Our current GMP facility has a lease term of seven years and includes an option to extend the lease for up to five years, which we have elected to account for since it is reasonably certain that we will exercise such option. We lease three other general use facilities within the United States, which have initial terms of two to three years and contain no option to extend. The Company also has leases in Canada and India which have terms of four to five years and contain no option to extend. We believe that our existing facilities are adequate to meet our current needs, and that suitable additional space will be available as and when needed.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Annual Report,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legal proceedings, see Note 16 in the notes to the consolidated financial statements included elsewhere in this Annual Report. This discussion is incorporated herein by reference.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Shareholder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under the symbol "OCGN."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February 24, 2026, we had 327.9 million shares of common stock outstanding held by approximately 27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We currently anticipate that we will retain future earnings, if any, to fund our operations and do not anticipate declaring or paying any cash dividends for the foreseeable future. Furthermore, our ability to pay cash dividends is currently restricted by the terms of our Loan and Security Agreement. As a result, we anticipate that only the appreciation of the price of our common stock, if any, will provide a return to investors for at least the foreseeable future.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December 31, 2025, we did not repurchase any shares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notes thereto included elsewhere in this Annual Report. Some of the information contained in this discussion and analysis, including information with respect to our plans and strategy for our business and related financing, include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Except as required by law, we undertake no obligation to publicly update these forward-looking statements, whether as a result of new information, future events, or otherwise. You should read the "Risk Factors" and "Special Note Regarding Forward-Looking Statements" sections of this Annual Report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biotechnology company focused on discovering, developing, and commercializing novel gene therapies that improve health and offer hope for patients across the globe.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technology pipeline includes:</w:t>
      </w: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Novel Modifier Gene Therapy Platform </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b w:val="1"/>
          <w:bCs w:val="1"/>
          <w:color w:val="auto"/>
        </w:rPr>
      </w:pPr>
    </w:p>
    <w:p>
      <w:pPr>
        <w:jc w:val="both"/>
        <w:ind w:left="660"/>
        <w:spacing w:after="0" w:line="23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OCU400</w:t>
      </w:r>
      <w:r>
        <w:rPr>
          <w:rFonts w:ascii="Times New Roman" w:cs="Times New Roman" w:eastAsia="Times New Roman" w:hAnsi="Times New Roman"/>
          <w:sz w:val="18"/>
          <w:szCs w:val="18"/>
          <w:color w:val="auto"/>
        </w:rPr>
        <w:t>- Based on the use of nuclear hormone receptors ("NHRs"), we believe our novel modifier gene therapy platform has the potential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major blindness diseases, including rare genetic diseases such as RP (OCU400), with a gene-agnostic approach. OCU400 is intended for early to advanced cases of RP including clinical and/or genetic diagnosis with both syndromic and non-syndromic forms of the disease. In January 2025, we announced positive two-year data for multiple mutations from the Phase 1/2 clinical trial for OCU400. In February 2025, we announced that the European Commission ("EC") has provided a positive opinion from the European Medicines Agency's ("EMA") Committee for Advanced Therapies for OCU400 Advanced Therapy Medicinal Product ("ATMP") classification. We have completed enrollment in the Phase 3 liMeliGhT clinical trial for OCU400 and are on track to begin a rolling BLA submission in the third quarter of 2026. Positive long-term, 3-year Phase 1/2 durable, safety and tolerability data for OCU400 demonstrate sustained clinically meaningful, approximately 2-line LLVA gain, reinforcing durable gene-agnostic benefit. Positive long-term, 3-year Phase 1/2 data for OCU400 were recently assessed in evaluable subjects and builds on prior 2-year results showing consistent clinically meaningful, approximately 2-line LLVA gain across mutations. OCU400 maintained a favorable durability, safety and tolerability profile with no new treatment-related serious adverse events or adverse events of interest emerged.</w:t>
      </w:r>
    </w:p>
    <w:p>
      <w:pPr>
        <w:spacing w:after="0" w:line="21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data include:</w:t>
      </w:r>
    </w:p>
    <w:p>
      <w:pPr>
        <w:spacing w:after="0" w:line="15" w:lineRule="exact"/>
        <w:rPr>
          <w:rFonts w:ascii="Times New Roman" w:cs="Times New Roman" w:eastAsia="Times New Roman" w:hAnsi="Times New Roman"/>
          <w:sz w:val="18"/>
          <w:szCs w:val="18"/>
          <w:b w:val="1"/>
          <w:bCs w:val="1"/>
          <w:color w:val="auto"/>
        </w:rPr>
      </w:pPr>
    </w:p>
    <w:p>
      <w:pPr>
        <w:ind w:left="1300" w:hanging="320"/>
        <w:spacing w:after="0" w:line="234" w:lineRule="auto"/>
        <w:tabs>
          <w:tab w:leader="none" w:pos="12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Visual function benefits were consistently observed over 3 years, with 88% (7/8) of evaluable treated subjects showing improvement or preservation versus untreated fellow eyes.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2-line gain (N=8) observed across multiple mutation types in treated eyes compared to untreated eyes at 3 years.</w:t>
      </w:r>
    </w:p>
    <w:p>
      <w:pPr>
        <w:spacing w:after="0" w:line="2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are on track to begin a rolling BLA submission in the third quarter of 2026. Topline Phase 3 data expected in the first quarter of 2027, advancing OCU400 towards potential approval in 2027 as a treatment option for early- to late-stage RP.</w:t>
      </w:r>
    </w:p>
    <w:p>
      <w:pPr>
        <w:spacing w:after="0" w:line="17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color w:val="auto"/>
        </w:rPr>
        <w:t>OCU410ST</w:t>
      </w:r>
      <w:r>
        <w:rPr>
          <w:rFonts w:ascii="Times New Roman" w:cs="Times New Roman" w:eastAsia="Times New Roman" w:hAnsi="Times New Roman"/>
          <w:sz w:val="18"/>
          <w:szCs w:val="18"/>
          <w:color w:val="auto"/>
        </w:rPr>
        <w:t>- We initiated dosing in GARDian3 pivotal confirmatory trial for OCU410ST in July 2025. The OCU410ST Phase 2/3 pivotal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confirmatory trial represents our second late-stage clinical program. We plan to submit a BLA for OCU410ST in the first half of 2027 in alignment with our strategic goal of filing three BLAs over the next three years. In November 2024, the EMA granted orphan medicinal product designation ("OMPD") for OCU410ST for the treatment of ABCA4-associated retinopathies (&gt;1200 mutations) including ST, RP 19, and CORD3. In May 2025, we announced that the FDA granted Rare Pediatric Disease Designation ("RPDD") for OCU410ST for the treatment of ABCA4-associated retinopathies including ST, retinitis pigmentosa 19 ("RP19"), and cone-rod dystrophy 3 ("CORD3"). In June 2025, we announced that the FDA has cleared the Investigational New Drug ("IND") amendment to initiate a Phase 2/3 pivotal confirmatory trial of OCU410ST, a modifier gene therapy candidate being developed for all ST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ABCA4-associated retinopathies). In August 2025, we announced that the Committee for Medicinal Products for Human Use ("CHMP") of the EMA reviewed the study design, endpoints and planned statistical analysis of the ongoing pivotal confirmatory OCU410ST Phase 2/3 GARDian3 clinical trial for ST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provided acceptability of a single U.S.-based trial for submission of a Marketing Authorization Application ("MAA"). The Phase 2/3 GARDian3 trial is progressing as planned with anticipated enrollment completion in early 2026.</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January 2026, the Company announced publication of Phase 1 GARDian1 Trial results for OCU410ST in EYE journal. The study supports the favorable safety tolerability and efficacy profile of OCU410ST and its potential to provide clinically meaningful functional and structural benefits in ST patients.</w:t>
      </w:r>
    </w:p>
    <w:p>
      <w:pPr>
        <w:spacing w:after="0" w:line="189"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18"/>
          <w:szCs w:val="18"/>
          <w:color w:val="auto"/>
        </w:rPr>
        <w:t>The OCU410ST Phase 1 clinical trial demonstrated that atrophic lesions grew slower by 54% at 12 months for evaluable treated subjects when compared to untreated fellow eyes. In the secondary endpoint- Best Corrected Visual Acuity (BCVA), treated-eyes showed an improvement with 1-line (6 ETDRS Letter) gain in the visual acuity when compared to untreated fellow eyes. Additionally, 100% of evaluable treated eyes demonstrated stabilization or improvement vs. untreated eyes in visual function. In evaluable subjects (N=6) the rate of ellipsoid zone (EZ) loss was 116% slower in OCU410ST-treated eyes compared to untreated fellow eyes at 12 months, demonstrating preservation or stabilization in photoreceptor integrity. The untreated eyes showed expected decline in atrophy.</w:t>
      </w:r>
    </w:p>
    <w:p>
      <w:pPr>
        <w:spacing w:after="0" w:line="207"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b w:val="1"/>
          <w:bCs w:val="1"/>
          <w:color w:val="auto"/>
        </w:rPr>
        <w:t>OCU410</w:t>
      </w:r>
      <w:r>
        <w:rPr>
          <w:rFonts w:ascii="Times New Roman" w:cs="Times New Roman" w:eastAsia="Times New Roman" w:hAnsi="Times New Roman"/>
          <w:sz w:val="18"/>
          <w:szCs w:val="18"/>
          <w:color w:val="auto"/>
        </w:rPr>
        <w:t>- We completed dosing in Phase 2 of the Phase 1/2 ArMaDa clinical trial for OCU410 for the treatment of geographic atrophy ("GA"),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form of dAMD. Positive preliminary efficacy and safety data from the Phase 1 dose-escalation portion of the OCU410 Phase 1/2 ArMaDa clinical trial included: no drug-related serious adverse events ("SAEs"), reduced lesion growth, preservation of retinal tissue, and—most importantly—there was a positive effect on the functional visual measure of low luminance visual acuity ("LLVA"). In March 2025, OCU410 and OCU410ST received ATMP classification from the EMA.</w:t>
      </w:r>
    </w:p>
    <w:p>
      <w:pPr>
        <w:spacing w:after="0" w:line="215"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color w:val="auto"/>
        </w:rPr>
        <w:t>We shared encouraging 12-month Phase 1 and 2 ArMaDa results for OCU410 in January 2026, including a 20.2% relative reduction in GA lesion from baseline as an early efficacy signal for slowing GA progression in Phase 1 subjects. Interim first time Phase 2 data (covering ~50% of subjects) demonstrated a 46% reduction in lesion growth in treatment group (combined high and medium doses) compared to control in 12 month follow up analysis. In a subgroup of patients (N=14, subjects with ≥7.5 mm2 at baseline) showed 57% greater reduction in lesion size compared to control (across doses). No OCU410-related serious adverse events or adverse events of special interest were reported across the Phase 1 and Phase 2 clinical trials. In evaluable subjects (N=7) ellipsoid zone (EZ) loss was 60% slower in OCU410-treated eyes compared to untreated fellow eyes at 12 months, EZ-RPE complex loss was reduced in treated eyes versus fellow eyes, demonstrating photoreceptor + RPE preservation. In addition, OCU410 treatment demonstrated a 20.2% reduction in sqrt geographic atrophy lesion growth at 12 months compared to untreated fellow eyes.</w:t>
      </w:r>
    </w:p>
    <w:p>
      <w:pPr>
        <w:spacing w:after="0" w:line="210"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Programs </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Novel Biologic Therapy for Retinal Diseases </w:t>
      </w:r>
      <w:r>
        <w:rPr>
          <w:rFonts w:ascii="Times New Roman" w:cs="Times New Roman" w:eastAsia="Times New Roman" w:hAnsi="Times New Roman"/>
          <w:sz w:val="18"/>
          <w:szCs w:val="18"/>
          <w:color w:val="auto"/>
        </w:rPr>
        <w:t>— OCU200 is a novel recombinant fusion protein consisting of two human proteins, tumstatin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transferrin. OCU200 possesses unique features which potentially enable it to treat vascular complications of diabetic macular edema ("DME"), diabetic retinopathy ("DR"), and wet age-related macular degeneration ("AMD"). Tumstatin is the active component of OCU200 and binds to integrin receptors, which play a crucial role in disease pathogenesis. Transferrin is expected to facilitate the targeted delivery of tumstatin into the retina and choroid and potentially help increase the interaction between tumstatin and integrin receptors. The first subject was dosed in the OCU200 multicenter open label Phase 1 clinical trial in January 2025 and enrollment is expected to be competed during the first quarter of 2026.</w:t>
      </w:r>
    </w:p>
    <w:p>
      <w:pPr>
        <w:spacing w:after="0" w:line="219" w:lineRule="exact"/>
        <w:rPr>
          <w:rFonts w:ascii="Times New Roman" w:cs="Times New Roman" w:eastAsia="Times New Roman" w:hAnsi="Times New Roman"/>
          <w:sz w:val="18"/>
          <w:szCs w:val="18"/>
          <w:b w:val="1"/>
          <w:bCs w:val="1"/>
          <w:color w:val="auto"/>
        </w:rPr>
      </w:pPr>
    </w:p>
    <w:p>
      <w:pPr>
        <w:jc w:val="both"/>
        <w:ind w:left="6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Regenerative Medicine Cell Therapy Platform </w:t>
      </w:r>
      <w:r>
        <w:rPr>
          <w:rFonts w:ascii="Times New Roman" w:cs="Times New Roman" w:eastAsia="Times New Roman" w:hAnsi="Times New Roman"/>
          <w:sz w:val="18"/>
          <w:szCs w:val="18"/>
          <w:color w:val="auto"/>
        </w:rPr>
        <w:t>— Our Phase 3-ready regenerative cell therapy platform technology, which includes NeoCart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(autologous chondrocyte-derived neocartilage), is being developed for the repair of knee cartilage injuries in adults. We received concurrence from the FDA on the confirmatory Phase 3 trial design and have completed renovating an existing facility into a current GMP facility to support clinical study and initial commercial launch. This facility is needed to generate patient-specific NeoCart implant from chondrocytes derived from knee biopsy. During 2025, we transferred the assets related to our NeoCart product candidate to OrthoCellix.</w:t>
      </w:r>
    </w:p>
    <w:p>
      <w:pPr>
        <w:spacing w:after="0" w:line="71" w:lineRule="exact"/>
        <w:rPr>
          <w:rFonts w:ascii="Times New Roman" w:cs="Times New Roman" w:eastAsia="Times New Roman" w:hAnsi="Times New Roman"/>
          <w:sz w:val="18"/>
          <w:szCs w:val="18"/>
          <w:b w:val="1"/>
          <w:bCs w:val="1"/>
          <w:color w:val="auto"/>
        </w:rPr>
      </w:pPr>
    </w:p>
    <w:p>
      <w:pPr>
        <w:jc w:val="both"/>
        <w:ind w:left="6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Inhaled Mucosal Vaccine Platform </w:t>
      </w:r>
      <w:r>
        <w:rPr>
          <w:rFonts w:ascii="Times New Roman" w:cs="Times New Roman" w:eastAsia="Times New Roman" w:hAnsi="Times New Roman"/>
          <w:sz w:val="18"/>
          <w:szCs w:val="18"/>
          <w:color w:val="auto"/>
        </w:rPr>
        <w:t>— Our next-generation, inhaled mucosal vaccine platform includes OCU500, a COVID-19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OCU510, a seasonal quadrivalent flu vaccine; and OCU520, a combination quadrivalent seasonal flu and COVID-19 vaccine. We have completed IND-enabling studies and GMP manufacturing of clinical trial material for OCU500. In January 2025, we announced that the Investigational New Drug ("IND") application is in effect, and the National Institute of Allergy and Infectious Diseases ("NIAID"), part of the National Institutes of Health ("NIH") intends to initiate a Phase 1 clinical trial for OCU500. The NIAID intends to initiate the OCU500 Phase 1 clinical trial in the second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Modifier Gene Therapy Platform</w:t>
      </w:r>
    </w:p>
    <w:p>
      <w:pPr>
        <w:spacing w:after="0" w:line="22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We are developing a modifier gene therapy platform designed to fulfill unmet medical needs related to retinal diseases, including IRDs, such as RP, ST; and multifactorial diseases such as dAMD. Our modifier gene therapy platform is based on the use of NHRs, which have the potential to achieve homeostasis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the basic biological processes in the retina to restore a healthy state from a diseased state. Unlike single gene replacement therapies, which only target one genetic mutation, our modifier gene therapy platform, through its use of NHRs, represents a unique, gene-agnostic approach designed to address not just the mutated gene but provide a molecular "reset" of health and survival of gene networks. OCU400, our lead product candidate in our modifier gene therapy platform, has received ODD from the FDA for RP and LCA, a RMAT designation for the treatment of RP associated with NR2E3 and RHO mutations from the FDA, and OMPD from the EC, based on the recommendation of the EMA, for RP and LCA. These broad ODD, RMAT, and OMPD designations further support the broad (gene-agnostic) therapeutic potential of OCU400 to treat RP associated with mutations in multiple genes.</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OCU410 and OCU410ST are being developed utilizing the RORA (RAR Related Orphan Receptor A) gene for the treatment of GA secondary to dAMD and ST, respectively. OCU410 is a potential one-time, curative therapy with a single sub-retinal injection that targets multiple pathways associated with AMD pathogenesis, in contrast to products currently approved or under development that treat only one cause of GA, require multiple injections per year, and have safety considerations. OCU410ST has received ODD from the FDA and OMPD from the EMA for the treatment of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-associated retinopathies (&gt;1200 mutations) including ST, RP19, and cone-rod dystrophy 3 (CORD3), and has the potential to be the first approved therapy to treat ST.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OCU410ST/OCU410 utilizes a first-in-class modifier gene therapy approach by delivering the human RORA gene to diseased retinal tissue via subretinal AAV5 delivery. RORA modulates lipid metabolism, oxidative stress, and inflammation key drivers of retinal degeneration that restores retinal homeostasis by offering a unique four-way disease-modifying potential.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there is significant economic burden of vision loss diseases in the US. ST and GA are major contributors to vision loss. OCU410 has the potential to reduce treatment costs, prevent vision-related disability, and ease the broader healthcare and societal burden driven by structural and functional vision loss.</w:t>
      </w:r>
    </w:p>
    <w:p>
      <w:pPr>
        <w:spacing w:after="0" w:line="18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February 2025, we announced that alignment has been reached with the FDA to move forward with a Phase 2/3 pivotal confirmatory clinical trial for OCU410ST which can be the basis of a BLA submission. The GARDian Phase 2/3 clinical trial will randomize 51 subjects, 34 of whom will receive a single, subretinal, 200-μL injection of OCU410ST at a concentration of 1.5x10</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vector genomes (vg)/mL in the eye with worse visual acuity, and 17 of whom will serve as untreated controls. The primary endpoint in the clinical trial is change in atrophic lesion size. Secondary endpoints include visual acuity as measured by best corrected visual acuity and LLVA compared to untreated controls. One-year data will be utilized for the BLA filing. The Phase 2/3 pivotal confirmatory trial has adaptive design with sample size re-estimation. OCU410ST is intended for early to advanced cases of ST. The masked interim analysis for the OCU410ST Phase 2/3 GARDian3 trial in Stargardt disease is on track as planned for mid-2026 for 24 subjects (16 treated, 8 controls).</w:t>
      </w: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latest data from the OCU410ST Phase 1 clinical trial demonstrates that atrophic lesions grew slower by 54% at 12 months for evaluable treated subjects when compared to untreated fellow eyes. In the secondary endpoint- Best Corrected Visual Acuity (BCVA), treated eyes showed an improvement with 1-line (6ETDRS Letter) gain in the visual acuity when compared to untreated fellow eyes. Additionally, 100% of evaluable treated eyes demonstrated stabilization or improvement vs. untreated eyes in visual function."). The Phase 2/3 GARDian3 trial is progressing as planned with anticipated enrollment completion in 2026.</w:t>
      </w:r>
    </w:p>
    <w:p>
      <w:pPr>
        <w:spacing w:after="0" w:line="197" w:lineRule="exact"/>
        <w:rPr>
          <w:sz w:val="20"/>
          <w:szCs w:val="20"/>
          <w:color w:val="auto"/>
        </w:rPr>
      </w:pPr>
    </w:p>
    <w:p>
      <w:pPr>
        <w:ind w:right="680"/>
        <w:spacing w:after="0" w:line="296" w:lineRule="auto"/>
        <w:rPr>
          <w:sz w:val="20"/>
          <w:szCs w:val="20"/>
          <w:color w:val="auto"/>
        </w:rPr>
      </w:pPr>
      <w:r>
        <w:rPr>
          <w:rFonts w:ascii="Times New Roman" w:cs="Times New Roman" w:eastAsia="Times New Roman" w:hAnsi="Times New Roman"/>
          <w:sz w:val="17"/>
          <w:szCs w:val="17"/>
          <w:color w:val="auto"/>
        </w:rPr>
        <w:t>In January 2026, the Company announced publication of Phase 1 GARDian1 Trial results for OCU410ST. The study supports the favorable safety, tolerability and efficacy profile of OCU410ST and its potential to provide clinically meaningful functional and structural benefits in ST patients.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OCU410ST Phase 1 clinical trial demonstrated that atrophic lesions grew slower by 54% at 12 months for evaluable treated subjects when compared to untreated fellow eyes. In the secondary endpoint, Best Corrected Visual Acuity (BCVA), treated eyes showed an improvement with 1-line (6 ETDRS Letter) gain in the visual acuity when compared to untreated fellow eyes. Additionally, 100% of evaluable treated eyes demonstrated stabilization or improvement vs. untreated eyes in visual function. In evaluable subjects (N=6) ellipsoid zone (EZ) loss rate was 116% slower in OCU410ST-treated eyes compared to untreated fellow eyes at 12 months, demonstrating preservation or stabilization in photoreceptor integrity. The untreated eyes showed expected decline in atrophy.</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Positive preliminary efficacy and safety data from the OCU410 Phase 2 ArMaDa clinical trial at 12 months demonstrated no drug-related serious adverse events (SAEs). In evaluable subjects in Phase 1 ArMaDa clinical trial (N=7) ellipsoid zone (EZ) loss was 60% slower in OCU410-treated eyes compared to untreated fellow eyes at 12 months, EZ-RPE complex loss was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reduced in treated eyes versus fellow eyes, demonstrating photoreceptor + RPE preservation. In addition, OCU410 treatment demonstrated a 20.2% reduction in geographic atrophy lesion growth at 12 months compared to untreated fellow eyes. Positive preliminary efficacy and safety data from the OCU410 Phase 2 ArMaDa clinical trial at 12 months demonstrated no drug-related serious adverse events (SAEs), 46% lesion growth reduction (medium + high dose vs. control; p=0.015; N=23) at 12 months, medium dose achieved 54% lesion reduction (p=0.02; N=10) vs. high dose 36% (p=0.05; N=8) compared to control, 50% responder rate with patients achieving &gt;50% lesion size reduction vs. control, and a subgroup of patients (N=14, subjects with ≥7.5 mm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at baseline) showed 57% greater reduction in lesion size compared to control (across doses).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Biologic Therapy for Retinal Diseases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OCU200 is a novel recombinant fusion protein consisting of two human proteins, tumstatin and transferrin. OCU200 possesses unique features which potentially enable it to treat vascular complications of diabetic macular edema ("DME"), diabetic retinopathy ("DR"), and wet age-related macular degeneration ("AMD"). Tumstatin is the active component of OCU200 and binds to integrin receptors,which play a crucial role in disease pathogenesis. Transferrin is expected to facilitate the targeted delivery of tumstatin into the retina and choroid and potentially help increase the interaction between tumstatin and integrin receptors. The first subject was dosed in the OCU200 multicenter open label Phase 1 clinical trial in January 2025 and enrollment is expected to be completed during the first quarter of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Regenerative Medicine Cell Therapy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NeoCart is a Phase 3-ready, regenerative cell therapy technology that combines breakthroughs in bioengineering and cell processing to enhance the autologous cartilage repair process. NeoCart is a three-dimensional tissue-engineered disc of new cartilage that is manufactured by growing the patient's own chondrocytes, the cells responsible for maintaining cartilage health. Current surgical and nonsurgical treatment options for knee cartilage injuries in adults are limited in their efficacy and durability. In prior clinical studies, Phase 2 and Phase 3, NeoCart has shown potential to accelerate healing, reduce pain, and provide regenerative native-like cartilage strength with durable benefits post transplantation. NeoCart was shown to be generally well-tolerated and demonstrated greater clinical efficacy than microfracture surgery at two years after treatment.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this clinical benefit, the FDA granted a RMAT designation to NeoCart for the repair of full-thickness lesions of knee cartilage injuries in adults. Additionally, we received concurrence from the FDA on the confirmatory Phase 3 trial design where chondroplasty will be used as a control group. We have completed renovating an existing facility into a GMP facility in accordance with the FDA's regulations in support of NeoCart manufacturing for personalized Phase 3 trial material. We intend to initiate the Phase 3 trial contingent on adequate availability of funding. During 2025, we transferred the assets related to our NeoCart product candidate to OrthoCellix.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Inhaled Mucosal Vaccine Platform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party to the WU License Agreement with Washington University, pursuant to which we licensed the rights to develop, manufacture, and commercialize a mucosal COVID-19 vaccine for the prevention of COVID-19 in the Mucosal Vaccine Territory. In addition, we internally developed technology related to the flu and COVID-19's vaccine design and filed intellectual property. We are developing a next-generation, inhalation-based mucosal vaccine platform based on a novel ChAd vector, which includes OCU500, a COVID-19 vaccine; OCU510, a seasonal quadrivalent flu vaccine; and OCU520, a combination quadrivalent seasonal flu and COVID-19 vaccine. Our inhaled mucosal vaccine platform is driven by our conviction to serve a major public health concern, which requires the endorsement and support of government funding in order to develop and ultimately commercialize our vaccine candidates. As these vaccine candidates are being developed to be administered via inhalation, we believe they have the potential to generate rapid local immune response in the upper airways and lungs, where viruses enter and infect the body. We believe this novel delivery route may help reduce or prevent infection and transmission as well as provide protection against new virus variants. In October 2023, OCU500 was selected by the NIAID Project NextGen for inclusion in clinical trials. OCU500 will be tested via two different mucosal routes, inhalation and intranasal delivery. The NIAID intends to initiate a Phase 1 clinical trial in the second quarter of 2026.</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Underwritten Registered Direct Offering and 2025 Registered Direct Offering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2026, we closed an underwritten registered direct offering of 15.0 million shares of our common stock at an offering price of $1.50 per share of common stock for gross proceeds of $22.5 million, before deducting commissions and other estimated offering expenses payable by us.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2025, we closed a registered direct offering pursuant to a securities purchase agreement with an institutional investor, for the purchase and sale of 20.0 million shares of our common stock and warrants to purchase up to an aggregate of 20.0 million shares of common stock at a purchase price of $1.00 per share and accompanying warrant. The warrants have an exercise price of $1.50 per share, are exercisable immediately upon issuance, and will expire two years following the date of issuance. Our net proceeds were $18.5 million after deducting the placement agent fees and other offering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Performance Share Unit Grant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2026, we granted 9.4 million Performance Share Units (“PSUs”) to our Chief Executive Officer under our 2019 Equity Incentive Plan (the "2019 Plan"). The grant date for these PSUs, as defined under ASC 718, occurred subsequent to year-end, on January 2, 2026, after all terms and conditions of the award were finalized and communicated.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PSUs are eligible to vest based on the achievement of pre-established performance criteria over a three-year period ending December 31, 2028. The performance metrics include certain regulatory milestones and achievement of a stock performance related milestones as determined by the Compensation Committee.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718, Compensation—Stock Compensation, the fair value of the PSUs will be measured on the grant date January 2, 2026 and recognized as compensation expense over the requisite service period. As the grant date occurred after December 31, 2025, no compensation expense related to this award is reflected in our results for the year ended December 31,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through March 4th, 2026 and determined that this grant does not impact our financial position as of December 31, 2025, but is disclosed herein as a subsequent event.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generated revenue from our product candidates to date and have incurred net losses in each year since inception. We expect to continue to incur net losses until our product candidates, if approved, are successfully commercialized. We incurred net losses of $67.8 million and $54.1 million for the years ended December 31, 2025 and 2024, respectively. As of December 31, 2025, we had an accumulated deficit of $408.1 million and a cash balance of $18.6 million. Substantially all of our net losses resulted from expenses incurred in connection with our research and development programs and from general and administrative costs associated with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we viewed our operations and managed our business as one operating segment consistent with how our chief operating decision-maker, our Chief Executive Officer, makes decisions regarding resource allocation and assessing performance. As of December 31, 2025, substantially all of our assets were located in the United States. Our headquarters are located in Malvern, Pennsylvania.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These costs consist of internal and external expenses, as well as depreciation expense on assets used within our research and development activities. Internal expenses include the cost of salaries, benefits, and other related costs, including stock-based compensation, for personnel serving in our research and development functions, as well as allocated rent and utilities expenses. External expenses include development, clinical trials, patent costs, and regulatory compliance costs incurred with research organizations, contract manufacturers, and other third-party vendors. License fees paid to acquire access to proprietary technology are expensed to research and development, unless it is determined that the technology is expected to have an alternative future use. We record costs for certain development activities, such as preclinical studies and clinical trials, based on our evaluation of the progress to completion of specific tasks. Payments for these activities are based on the terms of the individual arrangements, which may differ from the pattern of costs incurred, and are reflected in the consolidated financial statements as prepaid or accrued research and development expense, as applicable. Our recording of costs for certain development activities requires us to use estimates. We believe our estimates and assumptions are reasonable under the current conditions; however, actual results may differ from these estimates. Our research and development expenses are not currently tracked on a program-by-program basis for indirect and overhead costs. We use our personnel and infrastructure resources across multiple research and development programs directed toward identifying, developing, and commercializing product candidates.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We plan to incur research and development expenses for the foreseeable future as we expect to continue the development of our product candidates. We anticipate that our research and development expenses will be higher in fiscal year 2026 as compared to fiscal year 2025 due to an increase in BLA and clinical activities with respect to our product candidates as well as an increase in headcount.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this time, due to the inherently unpredictable nature of preclinical and clinical developments as well as regulatory approval, we are unable to estimate with any certainty the costs we will incur and the timelines we will require in our continued development and commercialization efforts. As a result of these uncertainties, the successful development and completion of clinical trials as well as the regulatory approval process are uncertain and may not result in approved and commercialized products. Completion dates and completion costs can vary significantly for each product candidate and are difficult to predict. We will continue to make determinations as to which product candidates to pursue and how much funding to direct to each product candidate on an ongoing basis in response to our ability to enter into partnerships with respect to each product candidate and the scientific and clinical success of each product candidate as well as ongoing assessments as to the commercial potential of each product candidate.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expenses, including salaries, benefits, insurance, and stock-based compensation expense, for employees in executive, accounting, commercialization, human resources, and other administrative functions. General and administrative expense also includes expenses related to pre-commercial activities, corporate facility costs, such as allocated rent and utilities, insurance premiums, legal fees related to corporate matters, and fees for auditing, accounting, and other consulting services.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fiscal year 2026 as compared to fiscal year 2025 due to an increase in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years ended December 31, 2025 and 2024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74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following table provides more transparency as to the type of research and development expenses incurred. The following table summarizes our research and development expenses by product candidate for the years ended December 31, 2025 and 2024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0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2"/>
        </w:trPr>
        <w:tc>
          <w:tcPr>
            <w:tcW w:w="6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OCU400</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OCU410 and OCU410ST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NeoCart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COVAXIN</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Inhaled mucosal vaccine platform</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OCU200</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costs: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personnel costs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Facilities and other support costs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9"/>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arrangement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Collaborative arrangement revenue increased by $0.4 million for the year ended December 31, 2025 compared to the year ended December 31, 2024. The increase resulted from greater advancement in fulfilling the terms of the collaboration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$7.6 million for the year ended December 31, 2025 compared to the year ended December 31, 2024. This growth was mainly attributable to an additional $3.0 million spent on phase three clinical activities for OCU400, $1.8 million associated with confirmatory phase two/three clinical activities related to OCU410,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$3.8 million resulting from increased staffing levels. These increases were partially offset by a $(2.0) million reduction related to OCU500, primarily due to lower preclinical activity and decreased GMP manufacturing expenditures.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by $0.9 million for the year ended December 31, 2025 compared to the year ended December 31, 2024. The increase was primarily due to $0.7 million increase in professional service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for the year ended December 31, 2025 decreased by $(0.3) million, compared to year ended December 31, 2024. The primary reason for this reduction was the lower average balances of cash and restricted cash, which resulted in less interest being generated compared to the previous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year ended December 31, 2025 increased significantly by $4.5 million, compared to year ended December 31, 2024. The primary reason for this increase is the interest charges associated with the long-term debt that the company initiated in the fourth quarter of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income, net changed by $(0.8) million for the year ended December 31, 2025 compared to the year ended December 31, 2024. The change was primarily due to $(0.8) million recorded for a one-time contract termination fee.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had $18.6 million in cash and $0.3 million restricted cash. We have not generated revenue from our product candidates to date, and have primarily funded our operations to date through the sale of common stock, warrants to purchase common stock, the issuance of convertible notes and debt, and grant proceeds. Since our inception and through December 31, 2025, we have raised an aggregate of $389.9 million to fund our operations, of which $345.2 million is from gross proceeds from the sale of our common stock and warrants, $10.3 million is from the issuance of convertible notes, $33.4 million is from the issuance of debt, $0.8 million was from the royalty agreement, and $0.2 million is from grant proceeds.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we entered into a debt financing transaction with Avenue for net proceeds of $29.2 million. The Loan and Security Agreement provides for term loans in an aggregate principal amount of up to $30.0 million delivered on November 6, 2024 (the "Term Loans"). The loan has a maturity date of November 1, 2028, of which the first 24 months are interest only, and bears interest at a variable rate per annum equal to the greater of the prime rate as reported in The Wall Street Journal plus 4.25% or 12.25%. Additionally, the Lenders have the right to convert an aggregate amount of up to $6.0 million of the outstanding principal amount into shares of our common stock at a conversion price per share equal to 80% of the trading price on the date of conversion, which shall be at Lenders' option. In the event we elect to prepay the Term Loans in full, Lenders shall have 10 days to elect to exercise its conversion right prior to such prepayment. All conversion rights shall terminate on Term Loans payoff. In connection with the entry into the Loan and Security Agreement, we entered into a Subscription Agreement (the "Subscription Agreement") by and among us and the Lenders, pursuant to which we issued (i) 211,268 shares of common stock to Avenue 1 and (ii) 845,070 shares of common stock to Avenue 2, with an issue date as of November 6, 2024 (the "Equity Grant"). Notwithstanding the foregoing, the aggregate amount of our common stock issued pursuant to this conversion right and the Equity Grant shall not exceed a number of shares equal to 19.9% of our outstanding common stock. The agreement is collateralized by all of our assets in which the Agent is granted senior secured lien. We also granted the Lenders a negative pledge on our intellectual property.</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2026, we closed an underwritten registered direct offering of 15.0 million shares of our common stock at an offering price of $1.50 per share of common stock for gross proceeds of $22.5 million, before deducting commissions and other estimated offering expenses payable by 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issued and sold 20.0 million shares of our common stock in a registered direct offering at price of $1.00 per share and accompanying warrant. We received net proceeds of $18.5 million after deducting equity issuance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issued and sold $32.7 million shares of our common stock at a public offering price of $1.15 per share pursuant to the July 2024 Public Offering. We received net proceeds of $34.7 million after deducting equity issuance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 resources to research and development and have incurred significant net losses and may continue to incur net losses in the future. We incurred net losses of approximately $67.8 million and $54.1 million for the years ended December 31, 2025 and 2024, respectively. As of December 31, 2025, we had an accumulated deficit of $408.1 million. In addition, as of December 31, 2025, we had accounts payable and accrued expenses and other current liabilities of $20.9 million, lease liability of $4.4 million, and indebtedness of $28.8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 ended December 31, 2025 and the year ended December 31, 2024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2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(42,142)</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64,858</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changes in exchange rate on cash and restricted cash</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was $57.0 million for the year ended December 31, 2025, and primarily consisted of a net loss of $67.8 million adjusted for non-cash items including stock-based compensation of $7.7 million, depreciation and amortization of $2.4 million, non-cash lease expense of $1.3 million, non-cash expense from collaborative arrangements, net of $2.5 million, non-cash interest expense of $0.1 million, and a change in net working capital of $(0.5)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was $42.1 million for the year ended December 31, 2024, and primarily consisted of a net loss of $54.1 million adjusted for non-cash items including stock-based compensation of $7.4 million, depreciation and amortization of $2.0 million, non-cash lease expense of $0.9 million, non-cash expense from collaborative arrangements, net of $2.2 million, non-cash interest expense of $0.1 million, and a change in net working capital of $3.7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$0.3 million for the year ended December 31, 2025, and primarily consisted of payments of security deposits and purchases of property and equipment. Cash used in investing activities was $3.4 million for the year ended December 31, 2024, and primarily consisted of payments related to purchases of property and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inflows from financing activities totaled $17.3 million for the year ended December 31, 2025, a notable decline from the $64.9 million recorded for the year ended December 31, 2024. The principal contributor to cash provided by financing activities in 2025 was the August 2025 Public Offering, which resulted in $19.9 million in gross proceeds, offset by equity issuance expenditures of $1.5 million. In comparison, the 2024 period saw its financing cash primarily generated from two sources: the July 2024 Public Offering, delivering $37.6 million in gross proceeds less $2.9 million in equity issuance costs, and a debt financing deal with Avenue, which contributed an additional $30.0 million in gross proceeds before deducting $0.8 million in related equity issuance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and Development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obligations under certain license and development agreements for our product candidates including annual payments, payments upon the achievement of certain milestones, and royalty payments based on net sales of licensed products. See Note 3 in the notes to the consolidated financial statements included in elsewhere in this Annual Report for information regarding our obligations under licensing and development agreements.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obligations under our operating leases, which include leased office, laboratory, and future manufacturing space, located in Malvern, Pennsylvania and other locations. As of December 31, 2025, we had future minimum operating lease base rent payment obligations of $5.7 million, with $1.2 million payable within 12 months of December 31, 2025. See Note 8 in the notes to the consolidated financial statements included elsewhere in this Annual Report for information regarding our obligations under lease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outstanding debt related to the funds borrowed from EB-5 Life Sciences pursuant to the United States government's foreign national investor program, commonly known as the EB-5 Program. Pursuant to the Loan agreement, we have borrowed $1.5 million to date. We also entered into the Loan and Security Agreement with Avenue that is secured by a lien on all of our assets. Pursuant to the Loan and Security Agreement, we have borrowed $30.0 million to date. See Note 10 in the notes to the consolidated financial statements included elsewhere in this Annual Report for information regarding our obligations under the EB-5 Loan agreement and the Loan and Security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expenses in connection with our ongoing activities, particularly as we continue research and development, including preclinical and clinical development of our product candidates, prepare to manufacture our product candidates, prepare for the potential commercialization of our product candidates, add operational, financial, and information systems to execute our business plan, maintain, expand, and protect our patent portfolio, explore strategic licensing, acquisition, and collaboration opportunities to expand our product candidate pipeline to support our future growth; expand headcount to support our development, commercialization, and business efforts, and operate as a public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impacting our future funding requirements include, without limitation, the following:</w:t>
      </w:r>
    </w:p>
    <w:p>
      <w:pPr>
        <w:spacing w:after="0" w:line="117"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trials for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and submission of Investigational New Drug applications, or INDs, with the FDA for current and future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the regulatory approval process for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commercialization;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doing business internationally with respect to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or in-licensing of additional product candidates and technologies;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infrastructure to support our development, commercialization, and business efforts, including the costs related to the development of a laboratory and manufacturing facility;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recruiting and retaining skilled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product candidates, or technologies and out-license our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turmoil, macroeconomic conditions, social unrest, political instability, terrorism, or other acts of war;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tariffs and indirect trade restraints, including increased costs associated with global and retaliatory tariff polices.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cash of approximately $18.6 million. This amount will not meet our capital requirements over the next 12 months. We believe that our cash and cash equivalents will enable us to fund our operations into the fourth quarter of 2026. Due to the inherent uncertainty involved in making estimates and the risks associated with the research,</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and commercialization of biotechnology products, we have based this estimate on assumptions that may prove to be wrong, and our operating plan may change as a result of many factors currently unknown to us.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risks and uncertainties frequently encountered by companies in the biotech industry, and while we intend to continue research, development, and commercialization efforts for our product candidates, we will require significant additional funding. If we are unable to obtain additional funding in the future and/or our research, development, and commercialization efforts require higher than anticipated capital, there will be a negative impact on our financial viability. We will continue to explore options to fund our operations through public and private placements of equity and/or debt, payments from potential strategic research and development arrangements, sales of assets, licensing and/or collaboration arrangements with pharmaceutical companies or other institutions, funding from the government, particularly for the development of our novel inhaled mucosal vaccine platform, or funding from other third parties. Such financing and funding may not be available at all, or on terms that are favorable to us. While management believes that we have a plan to fund operations, our plan may not be successfully implemented. If we cannot obtain the necessary funding, we will need to delay, scale back, or eliminate some or all of our research and development programs and commercialization efforts; consider other various strategic alternatives, including a merger or sale; or cease operations. If we cannot expand our operations or otherwise capitalize on our business opportunities because we lack sufficient capital, our business, financial condition, and results of operations could be materially adversely affected. Given this uncertainty, and despite the additional funding from the 2026 underwritten registered direct offering, we will need to raise significant additional capital in order to fund our operations until we recognize significant revenue from product sales. Our management continues to evaluate different strategies to obtain the funding required for our future operations. These strategies may include, but are not limited to: public and private placements of equity and/or debt, payments from potential strategic research and development arrangements, sales of assets, licensing and/or collaboration arrangements with pharmaceutical companies or other institutions, funding from the government, particularly for the development of our novel inhaled mucosal vaccine platform, or funding from other third parties. Our ability to secure funding is subject to numerous risks and uncertainties, including, but not limited to the impact of the geopolitical turmoil, macroeconomic conditions, and the impact of inflation and as a result; or cease operations. If we cannot expand our operations or otherwise capitalize on our business opportunities because we lack sufficient capital, our business, financial condition, and results of operations could be materially adversely affected.</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factors, together with the anticipated continued spending that will be necessary to continue to research, develop, and commercialize our product candidates, there is substantial doubt about our ability to continue as a going concern within one year after the date that these consolidated financial statements are issued. The consolidated financial statements do not contain any adjustments that might result from the resolution of any of the above uncertainties.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any off-balance sheet arrangements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("GAAP"). The preparation of our financial statements requires us to make estimates and judgments that affect the reported amounts of assets and liabilities, disclosure of contingent assets and liabilities at the date of the consolidated financial statements, and the reported amounts of expenses during the reported period.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and conditions.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the consolidated financial statements included elsewhere in this Annual Report, we believe that the following accounting policies and estimates are those most critical to the preparation of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Clinical Trial Accruals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process of preparing the consolidated financial statements included elsewhere in this Annual Report, we are required to estimate and record expenses, for which a large portion are research and development expenses. Research and development expenses include, among other categories, development, clinical trials, patent costs, and regulatory compliance costs incurred with research organizations, contract manufacturers, and other third-party vendors. The estimation process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involves identifying services that have been performed on our behalf by third-parties, estimating and accruing expenses in our consolidated financial statements based on the evaluation of the progress to completion of specific tasks and the facts and circumstances known to us at the time of the estimate, and assessing the accuracy of these estimates going forward to determine if adjustments are required. We periodically collaborate with our third-party vendors to assist in determining our estimates. Payments for these activities performed by our third-party vendors are based on the terms of the individual arrangements with our third-party vendors, which may differ from the pattern of costs incurred, and are reflected in the consolidated financial statements as prepaid or accrued research and development expense, as applicable. We believe our estimates and assumptions are reasonable under the current conditions; however, actual results may differ from these estimates. Any changes to estimates will be recorded in the period in which a circumstance causing a change in estimate becomes known and the impact of any change in estimate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 and Revenue Recognition</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We analyze our collaborative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This assessment is performed throughout the life of the arrangements based on changes to the arrangements. For collaborative arrangements within the scope of ASC 808 we may analogize to ASC 606 for certain elements.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identify the goods or services promised within each collaborative arrangement and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entity's promise to transfer the good or service to the customer is separately identifiable from other promises in the contract.</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allocation of the transaction price to the performance obligations in proportion to their standalone selling prices is determined at contract inception. If the consideration promised in a contract includes a variable amount, we estimate the amount of consideration to which it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counterparty and the transfer of the promised goods or services to the counterparty will be one year or less. We assess its collaboration arrangements in order to determine whether a significant financing component exists and concluded that a significant financing component does not exist in any of its arrangements.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recognize as collaboration revenue the amount of the transaction price that is allocated to the respective performance obligation as each performance obligation is satisfied over time, with progress toward completion measured based on actual costs incurred relative to total estimated costs to be incurred over the life of the arrangement. Significant management judgment is required in determining the level of effort required under an arrangement and the period over which we our expected to complete their performance obligations under the arrangements and in determining the estimated market value of the co-development services included in the transaction price. We evaluate the measure of progress each reporting period and, if necessary, adjusts the measure of performance and related revenue recognition. Adjustments to original estimates will be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our collaborative arrangements, the timing of revenue recognition and receipt of consideration may differ, and result in assets and liabilities. Assets represent revenues recognized in excess of the consideration received under collaborative arrangement. Liabilities represent the consideration received in excess of revenues recognized under collaborative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account for our stock-based compensation awards in accordance with the Financial Accounting Standards Board ("FASB") Accounting Standards Codification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We have issued stock-based compensation awards including stock options and restricted stock units ("RSUs"), and market-condition based restricted stock units ("PSUs"), and we also account for certain issuances of preferred stock and warrants in accordance with ASC 718. ASC 718 requires all stock-based payments, including grants of stock options and RSUs, and PSUs, to be recognized in the consolidated statements of operations and comprehensive loss based on their grant date fair values. We use the Black-Scholes option-pricing model to determine the fair value of options granted. For RSUs, the fair value of the RSUs is determined by the market price of a share of our common stock on the grant date. For PSUs, we determine fair value by using a Monte Carlo simulation technique. We recognize forfeitures as they occur.</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Expense related to stock-based compensation awards granted with service-based vesting conditions is recognized on a straight-line basis based on the grant date fair value over the associated service period of the award, which is generally the vesting term. Stock-based awards generally vest over a one to three year requisite service period. Stock options have a contractual term of 10 years. Expense for stock-based compensation awards with performance-based vesting conditions is only recognized when the performance-based vesting condition is deemed probable to occur. Expense for stock-based compensation awards with market-based and service-based vesting conditions is recognized ratably over the grantee's requisite service period. Compensation cost is not adjusted based on the actual achievement of the market-based performance goals. Expense related to stock-based compensation awards are recorded to research and development expense or general and administrative expense based on the underlying function of the individual that was granted the stock-based compensation award. Shares issued upon stock option exercise, PSU and RSU vesting are newly issued common shares.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Estimating the fair value of stock options requires the input of subjective assumptions, including the expected term of the stock option, stock price volatility, the risk-free interest rate, and expected dividends. Estimating the fair value of PSUs requires the input of subjective assumptions, including stock price volatility, total shareholder return ("TSR") ranking, the risk-free rate, and expected dividends. The assumptions used in our Black-Scholes option-pricing model and Monte Carlo simulation technique represent management's best estimates and involve a number of variables, uncertainties, assumptions, and the application of management's judgment, as they are inherently subjective. If any assumptions change, our stock-based compensation expense could be materially different in the future.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assumptions used in our Black-Scholes option-pricing model for stock options and in our Monte Carlo simulation technique for PSUs are as follows, unless noted otherwise: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As we do not have sufficient historical exercise data to provide a reasonable basis upon which to estimate expected term,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employee stock options subject to service-based vesting conditions is determined using the "simplified" method, as prescribed in SEC's Staff Accounting Bulletin No. 107, whereby the expected term equals the arithmetic average of the vesting term and the original contractual term of the option. This expected term assumption is not an assumption used in our Monte Carlo simulation technique for PSUs. The expected term of the PSUs is equal to the performance period of the PSUs.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is based on historical volatilities of Ocugen and similar entities within Ocugen's industry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commensurate with the assumed expected term.</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interest rate payable on United States Treasury securities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period that is commensurate with the assumed 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The expected dividend yield is 0% because we have not historically paid, and do not expect for the foreseeable future to pay,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on our common stock.</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TSR ranking. </w:t>
      </w:r>
      <w:r>
        <w:rPr>
          <w:rFonts w:ascii="Times New Roman" w:cs="Times New Roman" w:eastAsia="Times New Roman" w:hAnsi="Times New Roman"/>
          <w:sz w:val="18"/>
          <w:szCs w:val="18"/>
          <w:color w:val="auto"/>
        </w:rPr>
        <w:t>The TSR, over a three-year period, is relative to the TSR, for that same period, as related to other companies within the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Biotechnology Index. This assumption is only used for the market-based PSUs.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was $7.7 million and $7.4 million for the years ended December 31, 2025 and 2024, respectively. As of December 31, 2025, we had $10.9 million of unrecognized stock-based compensation expense, which is expected to be recognized over a remaining weighted-average period of 2.0 years.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 in the notes to the consolidated financial statements included elsewhere in this Annual Report.</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required by this item are set forth beginning on page F-1 of this report and are incorporated herein by reference. The report of our Independent Registered Public Accounting Firm, PricewaterhouseCoopers LLP, Public Company Accounting Oversight Board identification number 238, is included therein.</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principal executive officer and principal financial officer, of the effectiveness of our disclosure controls and procedures (as defined in Rules 13a-15(e) and 15d-15(e) under the Exchange Act) as of December 31, 2025. Based upon that evaluation, our principal executive officer and principal financial officer concluded that, as of December 31, 2025, the end of the period covered by this Annual Report, our disclosure controls and procedures are effective in providing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our financial statements for external purposes in accordance with GAAP and includes those policies and procedures that:</w:t>
      </w:r>
    </w:p>
    <w:p>
      <w:pPr>
        <w:spacing w:after="0" w:line="75"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980" w:right="220" w:hanging="324"/>
        <w:spacing w:after="0" w:line="312" w:lineRule="auto"/>
        <w:tabs>
          <w:tab w:leader="none" w:pos="97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31" w:lineRule="exact"/>
        <w:rPr>
          <w:rFonts w:ascii="Times New Roman" w:cs="Times New Roman" w:eastAsia="Times New Roman" w:hAnsi="Times New Roman"/>
          <w:sz w:val="17"/>
          <w:szCs w:val="17"/>
          <w:color w:val="auto"/>
        </w:rPr>
      </w:pPr>
    </w:p>
    <w:p>
      <w:pPr>
        <w:ind w:left="980" w:right="80" w:hanging="324"/>
        <w:spacing w:after="0" w:line="282"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officer, our management assessed the effectiveness of our internal control over financial reporting as of December 31, 2025 based on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Based on this assessment, management concluded that our internal control over financial reporting was effective as of December 31, 2025.</w:t>
      </w:r>
    </w:p>
    <w:p>
      <w:pPr>
        <w:spacing w:after="0" w:line="1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on internal control over financial reporting by our independent registered public accounting firm since we are a smaller reporting company under the rules of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ended December 31, 2025 that has materially affected, or is reasonably likely to materially affect, our internal control over financial reporting.</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our three months ended December 31, 2025, no director or officer adopted or terminated any Rule 10b5-1 trading arrangement, and/or any non-Rule 10b5-1 trading arrangement (as such terms are defined pursuant to Item 408(a) of Regulation S-K).</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contained in the Proxy Statement for our 2026 Annual Meeting of Stockholders or in an amendment on Form 10-K/A, which we intend to file with the SEC within 120 days of the end of the fiscal year to which this Annual Report relates.</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(excluding the information under the heading "Pay Versus Performance") is incorporated by reference from the discussion responsive thereto contained in the Proxy Statement for our 2026 Annual Meeting of Stockholders or in an amendment on Form 10-K/A, which we intend to file with the SEC within 120 days of the end of the fiscal year to which this Annual Report relates.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contained in the Proxy Statement for our 2026 Annual Meeting of Stockholders or in an amendment on Form 10-K/A, which we intend to file with the SEC within 120 days of the end of the fiscal year to which this Annual Report relates.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contained in the Proxy Statement for our 2026 Annual Meeting of Stockholders or in an amendment on Form 10-K/A, which we intend to file with the SEC within 120 days of the end of the fiscal year to which this Annual Report relates.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discussion responsive thereto contained in the Proxy Statement for our 2026 Annual Meeting of Stockholders or in an amendment on Form 10-K/A, which we intend to file with the SEC within 120 days of the end of the fiscal year to which this Annual Report on Form 10-K relates.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financial statement schedules, and exhibits filed as part of this Annual Report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Consolidated Financial Statements" beginning on page F-1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exhibits required to be filed as part of this Annual Report are listed in the Exhibit Index attached hereto and are incorporated herein by reference.</w:t>
      </w:r>
    </w:p>
    <w:p>
      <w:pPr>
        <w:spacing w:after="0" w:line="200" w:lineRule="exact"/>
        <w:rPr>
          <w:sz w:val="20"/>
          <w:szCs w:val="20"/>
          <w:color w:val="auto"/>
        </w:rPr>
      </w:pPr>
    </w:p>
    <w:p>
      <w:pPr>
        <w:spacing w:after="0" w:line="37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337" w:right="8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0369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3.7</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3.8</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3.9</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3.10</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26670</wp:posOffset>
            </wp:positionV>
            <wp:extent cx="60350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8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Sixth Amended and Restated Certificate of Incorporation (filed as Exhibit 3.1 to the Registrant's Current Report on Form 8-K as</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filed on December 8, 2014, and incorporated herein by reference)</w:t>
        </w:r>
      </w:hyperlink>
    </w:p>
    <w:p>
      <w:pPr>
        <w:spacing w:after="0" w:line="68"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Amendment to Sixth Amended and Restated Certificate of Incorporation related to the Reverse Stock Split and the Authorized</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Share Increase (filed as Exhibit 3.1 to the Registrant's Current Report on Form 8-K as filed October 1, 2019, and incorporated</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herein by reference)</w:t>
        </w:r>
      </w:hyperlink>
    </w:p>
    <w:p>
      <w:pPr>
        <w:spacing w:after="0" w:line="48" w:lineRule="exact"/>
        <w:rPr>
          <w:rFonts w:ascii="Times New Roman" w:cs="Times New Roman" w:eastAsia="Times New Roman" w:hAnsi="Times New Roman"/>
          <w:sz w:val="18"/>
          <w:szCs w:val="18"/>
          <w:u w:val="single" w:color="auto"/>
          <w:color w:val="0000FF"/>
        </w:rPr>
      </w:pPr>
    </w:p>
    <w:p>
      <w:pPr>
        <w:ind w:right="260"/>
        <w:spacing w:after="0" w:line="237"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Amendment to Sixth Amended and Restated Certificate of Incorporation related to the Name Change (filed as Exhibit 3.2 to the</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Registrant's Current Report on Form 8-K as filed on October 1, 2019, and incorporated herein by reference)</w:t>
        </w:r>
      </w:hyperlink>
    </w:p>
    <w:p>
      <w:pPr>
        <w:spacing w:after="0" w:line="77"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Amendment to Sixth Amended and Restated Certificate of Incorporation related to the Increase in Authorized Shares of Common</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Stock (filed as Exhibit 3.1 to the Registrant's Quarterly Report on Form 10-Q as filed on May 7, 2021, and incorporated herein by</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Amendment to Sixth Amended and Restated Certificate of Incorporation related to the Authorized Share Increase (filed as Exhibit</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3.2 to the Registrant's Quarterly Report on Form 10-Q as filed on August 8, 2024, and incorporated herein by reference)</w:t>
        </w:r>
      </w:hyperlink>
    </w:p>
    <w:p>
      <w:pPr>
        <w:spacing w:after="0" w:line="68"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Certificate of Designation of Preferences, Rights and Limitations of Series A Convertible Preferred Stock of Histogenics</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Corporation (filed as Exhibit 3.3 to the Registrant's Current Report on Form 8-K as filed on September 16, 2016, and incorporated</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Certificate of Designation of Preferences, Rights and Limitations of Series B Convertible Preferred Stock of Ocugen, Inc. (filed as</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Exhibit 3.5 to the Registrant's Annual Report on Form 10-K filed on March 19, 2021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Certificate of Designation of Preferences, Rights and Limitations (filed as Exhibit 3.1 to the Registrant's Current Report on Form</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8-K filed on May 10, 2024,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Second Amended and Restated Bylaws of Ocugen, Inc. (filed as Exhibit 3.1 to the Registrant’s Quarterly Report on Form 10-Q as</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filed on August 21, 2023,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Amendment to Second Amended and Restated Bylaws of Ocugen, Inc. (filed as Exhibit 3.1 to the Registrant’s Current Report of</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Form 8-K as filed on March 20, 2024, and incorporated herein by reference)</w:t>
        </w:r>
      </w:hyperlink>
    </w:p>
    <w:p>
      <w:pPr>
        <w:spacing w:after="0" w:line="68"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Certificate of Correction to the Certificate Designation of Preferences, Rights and Limitations of Series C Convertible Preferred</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Stock of the Registrant (filed as Exhibit 3.1 to the Registrant's Quarterly Report on Form 10-Q filed on May 9, 2025 and</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Description of the Registrant’s Securities Registered Pursuant to Section 12 of the Securities Exchange Act of 1934 (filed as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Exhibit 4.1 to the Registrant's Annual Report on Form 10-K as filed on February 28, 2022, and incorporated herein by reference)</w:t>
        </w:r>
      </w:hyperlink>
    </w:p>
    <w:p>
      <w:pPr>
        <w:spacing w:after="0" w:line="311"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Form of Common Stock Purchase Warrant (filed as Exhibit 4.8 to the Registrant's Annual Report on Form 10-K filed on March 19,</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2021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Form of Warrant (incorporated by reference to Exhibit 4.1 of the Registrant’s Current Report on Form 8-K filed with the U.S.</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Securities and Exchange Commission on August 11, 2025)</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Ocugen, Inc. 2014 Stock Option Plan (filed as Exhibit 10.30 to the Registrant's Registration Statement on Form S-4 (SEC File No.</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333-232147), as filed on June 14, 2019, and incorporated herein by reference)</w:t>
        </w:r>
      </w:hyperlink>
    </w:p>
    <w:p>
      <w:pPr>
        <w:spacing w:after="0" w:line="68"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Form of Incentive Stock Option Agreement under Ocugen, Inc. 2014 Stock Option Plan (filed as Exhibit 10.31 to the Registrant's</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Registration Statement on Form S-4 (SEC File No. 333-232147), as filed on June 14, 2019, and incorporated herein by reference)</w:t>
        </w:r>
      </w:hyperlink>
    </w:p>
    <w:p>
      <w:pPr>
        <w:spacing w:after="0" w:line="68"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Form of Nonstatutory Stock Option Agreement under Ocugen, Inc. 2014 Stock Option Plan (filed as Exhibit 10.32 to the</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Registrant's Registration Statement on Form S-4 (SEC File No. 333-232147), as filed on June 14, 2019, and incorporated herein by</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Ocugen, Inc. 2019 Equity Incentive Plan (filed as Appendix A to the Registrant's Proxy Statement on Schedule 14A as filed on</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November 8, 2019,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480"/>
            <w:col w:w="9460"/>
          </w:cols>
          <w:pgMar w:left="320" w:top="337"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Form of Incentive Stock Option Agreement under Ocugen, Inc. 2019 Equity Incentive Plan (filed as Exhibit 10.5 to the</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Registrant’s Annual Report on Form 10-K as filed on February 28, 2023 and incorporated herein by reference)</w:t>
        </w:r>
      </w:hyperlink>
    </w:p>
    <w:p>
      <w:pPr>
        <w:spacing w:after="0" w:line="64"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Form of Non-Qualified Stock Option Agreement under Ocugen, Inc. 2019 Equity Incentive Plan (filed as Exhibit 10.6 to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Registrant’s Annual Report on Form 10-K as filed on February 28, 2023 and incorporated herein by reference)</w:t>
        </w:r>
      </w:hyperlink>
    </w:p>
    <w:p>
      <w:pPr>
        <w:spacing w:after="0" w:line="77"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Form of Restricted Stock Unit Grant Notice and Restricted Stock Unit Agreement under Ocugen, Inc. 2019 Equity Incentive Plan</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(filed as Exhibit 10.7 to the Registrant’s Annual Report on Form 10-K as filed on February 28, 2023 and incorporated herein by</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Form of Performance-Vested Stock Option Agreement under Ocugen, Inc. 2019 Equity Incentive Plan (filed as Exhibit 10.2 to the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Registrant’s Quarterly Report on Form 10-Q as filed on May 7, 2021, and incorporated herein by reference)</w:t>
        </w:r>
      </w:hyperlink>
    </w:p>
    <w:p>
      <w:pPr>
        <w:spacing w:after="0" w:line="6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Form of Non-Qualified Stock Option Agreement for Inducement Non-Qualified Stock Option Awards</w:t>
        </w:r>
      </w:hyperlink>
    </w:p>
    <w:p>
      <w:pPr>
        <w:spacing w:after="0" w:line="104"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Form of Restricted Stock Unit Grant Notice and Restricted Stock Unit Agreement for Inducement Restricted Stock Unit Awards</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(filed as Exhibit 10.10 to the Registrant’s Annual Report on Form 10-K as filed on February 28, 2023 and incorporated herein by</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Exclusive License Agreement, effective as of March 3, 2014, between The Regents of the University of Colorado and Ocugen</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Opco, Inc. (filed as Exhibit 10.33 to the Registrant's Registration Statement on Form S-4 (SEC File No. 333-232147), as filed on</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June 14, 2019, 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left="37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-1124585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480"/>
            <w:col w:w="9460"/>
          </w:cols>
          <w:pgMar w:left="320" w:top="337"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564515</wp:posOffset>
            </wp:positionV>
            <wp:extent cx="10369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10.23#</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10.24#</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10.25#</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10.26</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10.27#</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First Amendment to the Exclusive License Agreement, dated as of January 23, 2017, by and between The Regents of the</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University of Colorado and Ocugen Opco, Inc. (filed as Exhibit 10.34 to the Registrant's Registration Statement on Form S-4 (SEC</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File No. 333-232147), as filed on June 14, 2019, and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-14605</wp:posOffset>
            </wp:positionH>
            <wp:positionV relativeFrom="paragraph">
              <wp:posOffset>-462915</wp:posOffset>
            </wp:positionV>
            <wp:extent cx="60350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4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Letter of Understanding, dated November 8, 2017, between The Regents of the University of Colorado and Ocugen Opco, Inc.</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(filed as Exhibit 10.35 to the Registrant's Registration Statement on Form S-4 (SEC File No. 333-232147), as filed on June 14,</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2019,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Exclusive License Agreement, effective as of December 19, 2017, between The Schepens Eye Research Institute, Inc. and Ocugen</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Opco, Inc. (filed as Exhibit 10.37 to the Registrant's Registration Statement on Form S-4 (SEC File No. 333-232147), as filed on</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June 14, 2019,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Co-Development, Supply and Commercialization Agreement, dated as of January 31, 2021, by and between the Registrant and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Bharat Biotech International Limited (filed as Exhibit 10.1 to the Registrant's Quarterly Report on Form 10-Q as filed on May 7,</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2021,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First Amendment to Co-Development, Supply and Commercialization Agreement, dated as of May 29, 2021, by and between the</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Registrant and Bharat Biotech International Limited (filed as Exhibit 10.1 to the Registrant's Quarterly Report on Form 10-Q as</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filed on August 6, 2021,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Second Amendment to Co-Development, Supply and Commercialization Agreement, dated as of April 15, 2022, by and between</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the Registrant and Bharat Biotech International Limited (filed as Exhibit 10.1 to the Registrant's Quarterly Report on Form 10-Q as</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filed on May 6, 2022, and 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58"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Development and Commercial Supply Agreement, dated September 29, 2021, by and between the Registrant and Bharat Biotech</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International Limited (filed as Exhibit 10.1 to the Registrant's Quarterly Report on Form 10-Q as filed on November 9, 2021, and</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incorporated herein by reference)</w:t>
        </w:r>
      </w:hyperlink>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Co-Development and Commercialization Agreement, dated as of September 27, 2019, by and among the Registrant and CanSino</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Biologics Inc. (filed as Exhibit 10.2 to the Registrant's Quarterly Report on Form 10-Q as filed on November 12, 2019, and</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First Amendment to the Co-Development and Commercialization Agreement, dated September 30, 2021, by and between the</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Registrant and CanSino Biologics, Inc. (filed as Exhibit 10.2 to the Registrant's Quarterly Report on Form 10-Q as filed on</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November 9, 2021, and 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Second Amendment to the Co-Development and Commercialization Agreement, dated November 21, 2022, by and between the</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Registrant and CanSino Biologics, Inc.</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Third Amendment to the Co-Development and Commercialization Agreement, dated April 11, 2023, by and between the</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Registrant and CanSino Biologics, Inc.</w:t>
        </w:r>
      </w:hyperlink>
    </w:p>
    <w:p>
      <w:pPr>
        <w:spacing w:after="0" w:line="5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Exclusive License Agreement by and between the Registrant and The Washington University, dated as of September 23, 2022</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(filed as Exhibit 10.1 to the Registrant's Quarterly Report on Form 10-Q as filed on November 8, 2022, and incorporated herein by</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First Amendment to the Exclusive License Agreement by and between the Registrant and The Washington University, dated as of</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January 31, 2023</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Second Amendment to the Exclusive License Agreement by and between the Registrant and The Washington University, dated as</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of November 28, 2023</w:t>
        </w:r>
      </w:hyperlink>
    </w:p>
    <w:p>
      <w:pPr>
        <w:spacing w:after="0" w:line="5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Loan and Security Agreement, effective as of September 12, 2016, by and between EB-5 Life Sciences, LP and Ocugen Opco, Inc.</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(filed as Exhibit 10.42 to the Registrant's Registration statement on Form S-4/A (SEC File No. 333-232147), as filed on July 23,</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2019, and 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Third Amendment to the Exclusive License Agreement by and between Washington University and the Registrant, dated June 2,</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-296545</wp:posOffset>
            </wp:positionV>
            <wp:extent cx="136334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1363345" cy="128905"/>
                    </a:xfrm>
                    <a:prstGeom prst="rect">
                      <a:avLst/>
                    </a:prstGeom>
                    <a:noFill/>
                  </pic:spPr>
                </pic:pic>
              </a:graphicData>
            </a:graphic>
          </wp:anchor>
        </w:drawing>
      </w:r>
    </w:p>
    <w:p>
      <w:pPr>
        <w:spacing w:after="0" w:line="3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Amended and Restated Employment Agreement, dated as of January 1, 2020, by and between the Registrant and Shankar</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Musunuri (filed as Exhibit 10.1 to the Registrant's Current Report on Form 8-K as filed on January 3, 2020, and incorporated</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herein by reference)</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280" w:space="480"/>
            <w:col w:w="9460"/>
          </w:cols>
          <w:pgMar w:left="320" w:top="337" w:right="359"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8"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10369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10.29+</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10.30+</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10.31+</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10.32†</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10.33†</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10.35#</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10.36+</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10.37#</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10.38#</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10.39*</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10.40#</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10.42</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10.43</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19.1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21.1</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First Amendment to Amended and Restated Executive Employment Agreement, dated as of April 27, 2022, by and between the</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Registrant and Shankar Musunuri (filed as Exhibit 10.3 to the Registrant's Quarterly Report on Form 10-Q as filed on May 6, 2022,</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and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-14605</wp:posOffset>
            </wp:positionH>
            <wp:positionV relativeFrom="paragraph">
              <wp:posOffset>-476250</wp:posOffset>
            </wp:positionV>
            <wp:extent cx="60350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48"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Amended and Restated Executive Employment Agreement, dated as of December 16, 2021, by and between the Registrant and</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Arun Upadhyay</w:t>
        </w:r>
      </w:hyperlink>
    </w:p>
    <w:p>
      <w:pPr>
        <w:spacing w:after="0" w:line="5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First Amendment to Amended and Restated Executive Employment Agreement, dated as of August 26, 2022, by and between the</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Registrant and Arun Upadhyay</w:t>
        </w:r>
      </w:hyperlink>
    </w:p>
    <w:p>
      <w:pPr>
        <w:spacing w:after="0" w:line="54"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Agreement dated as of June 22, 2012 between the Registrant and Purpose Co., Ltd. f/k/a Takagi Sangyo Co. Ltd. and f/k/a Takagi</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Industrial Co., Ltd. (filed as Exhibit 10.20 to the Registrant’s Registration Statement on Form S-1 (SEC File No. 333-199202), as</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filed on October 7, 2014, and 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First Amendment to License Agreement, dated May 9, 2016, between the Registrant and Purpose Co., Ltd., f/k/a Takagi Sangyo</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Co. Ltd. (filed as Exhibit 10.33 to the Registrant’s Quarterly Report on Form 10-Q as filed on August 11, 2016, and incorporated</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herein by reference)</w:t>
        </w:r>
      </w:hyperlink>
    </w:p>
    <w:p>
      <w:pPr>
        <w:spacing w:after="0" w:line="54" w:lineRule="exact"/>
        <w:rPr>
          <w:rFonts w:ascii="Times New Roman" w:cs="Times New Roman" w:eastAsia="Times New Roman" w:hAnsi="Times New Roman"/>
          <w:sz w:val="18"/>
          <w:szCs w:val="18"/>
          <w:u w:val="single" w:color="auto"/>
          <w:color w:val="0000FF"/>
        </w:rPr>
      </w:pPr>
    </w:p>
    <w:p>
      <w:pPr>
        <w:jc w:val="both"/>
        <w:spacing w:after="0" w:line="237"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Executive Employment Agreement, dated as of March 18, 2024, by and between the Registrant and Huma Qamar (filed as Exhibit</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10.1 to the Registrant’s Quarterly Report on Form 10-Q as filed on May 14, 2024, and incorporated herein by reference)</w:t>
        </w:r>
      </w:hyperlink>
    </w:p>
    <w:p>
      <w:pPr>
        <w:spacing w:after="0" w:line="64" w:lineRule="exact"/>
        <w:rPr>
          <w:sz w:val="20"/>
          <w:szCs w:val="20"/>
          <w:color w:val="auto"/>
        </w:rPr>
      </w:pPr>
    </w:p>
    <w:p>
      <w:pPr>
        <w:jc w:val="both"/>
        <w:spacing w:after="0" w:line="222" w:lineRule="auto"/>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Loan and Security Agreement by and among the Registrant, Ocugen OpCo, Inc., Avenue Capital Management II, L.P., Avenue</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Venture Opportunities Fund II, L.P. and Avenue Venture Opportunities Fund, L.P., dated November 6, 2024 (filed as Exhibit 10.2</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to the Registrant’s Current Report on Form 8-K/A as filed on February 7, 2025, and incorporated herein by reference)</w:t>
        </w:r>
      </w:hyperlink>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Performance Restricted Stock Unit Award Agreement</w:t>
      </w:r>
    </w:p>
    <w:p>
      <w:pPr>
        <w:spacing w:after="0" w:line="77" w:lineRule="exact"/>
        <w:rPr>
          <w:sz w:val="20"/>
          <w:szCs w:val="20"/>
          <w:color w:val="auto"/>
        </w:rPr>
      </w:pPr>
    </w:p>
    <w:p>
      <w:pPr>
        <w:jc w:val="both"/>
        <w:spacing w:after="0" w:line="222"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Supplement to Loan and Security Agreement by and among the Registrant, Ocugen OpCo, Inc., Avenue Capital Management II,</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L.P., Avenue Venture Opportunities Fund II, L.P. and Avenue Venture Opportunities Fund, L.P., dated November 6, 2024 (filed as</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Exhibit 10.3 to the Registrant’s Current Report on Form 8-K/A as filed on February 7, 2025, and incorporated herein by reference)</w:t>
        </w:r>
      </w:hyperlink>
    </w:p>
    <w:p>
      <w:pPr>
        <w:spacing w:after="0" w:line="57" w:lineRule="exact"/>
        <w:rPr>
          <w:sz w:val="20"/>
          <w:szCs w:val="20"/>
          <w:color w:val="auto"/>
        </w:rPr>
      </w:pPr>
    </w:p>
    <w:p>
      <w:pPr>
        <w:jc w:val="both"/>
        <w:spacing w:after="0" w:line="222"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Subscription Agreement by and among the Registrant, Ocugen OpCo, Inc., Avenue Capital Management II, L.P., Avenue Venture</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Opportunities Fund II, L.P. and Avenue Venture Opportunities Fund, L.P., dated November 6, 2024 (filed as Exhibit 10.1 to the</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Registrant’s Current Report on Form 8-K as filed on February 7, 2025, and incorporated herein by reference)</w:t>
        </w:r>
      </w:hyperlink>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Executive Employment Agreement, dated as of September 9, 2024, by and between the Registrant and Ramesh Ramachandran</w:t>
        </w:r>
      </w:hyperlink>
    </w:p>
    <w:p>
      <w:pPr>
        <w:spacing w:after="0" w:line="77"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Exclusive License Agreement by and between Ocugen, Inc. and Kwangdong Pharmaceutical Co. (incorporated herein by reference</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to the Registrant’s Quarterly Report on Form 10-Q, as filed on November 5, 2025).</w:t>
        </w:r>
      </w:hyperlink>
    </w:p>
    <w:p>
      <w:pPr>
        <w:spacing w:after="0" w:line="64"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Form of Securities Purchase Agreement dated August 8, 2025 (incorporated by reference to Exhibit 10.1 of the Registrant’s</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Current Report on Form 8-K filed with the U.S. Securities and Exchange Commission on August 11, 2025)</w:t>
        </w:r>
      </w:hyperlink>
    </w:p>
    <w:p>
      <w:pPr>
        <w:spacing w:after="0" w:line="64"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Placement Agency Agreement dated August 8, 2025 (incorporated by reference to Exhibit 10.2 of the Registrant’s Current Report</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on Form 8-K filed with the U.S. Securities and Exchange Commission on August 11, 2025)</w:t>
        </w:r>
      </w:hyperlink>
    </w:p>
    <w:p>
      <w:pPr>
        <w:spacing w:after="0" w:line="104" w:lineRule="exact"/>
        <w:rPr>
          <w:sz w:val="20"/>
          <w:szCs w:val="20"/>
          <w:color w:val="auto"/>
        </w:rPr>
      </w:pPr>
    </w:p>
    <w:p>
      <w:pPr>
        <w:jc w:val="both"/>
        <w:spacing w:after="0" w:line="222"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Employment Agreement, dated as of February 9, 2026, by and between Ocugen, Inc. and Rita Johnson-Greene, (incorporated by</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reference to Exhibit 10.1 of the Registrant's Current Report on Form 8-K filed with the U.S. Securities and Exchange Commission</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on February 9, 2026.</w:t>
        </w:r>
      </w:hyperlink>
    </w:p>
    <w:p>
      <w:pPr>
        <w:spacing w:after="0" w:line="57"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Insider Trading Policy (filed as Exhibit 19.1 to the Registrant’s Annual Report on Form 10-K as filed on March 5, 2025, and</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incorporated herein by reference)</w:t>
        </w:r>
      </w:hyperlink>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 xml:space="preserve">List </w:t>
      </w:r>
      <w:r>
        <w:rPr>
          <w:rFonts w:ascii="Times New Roman" w:cs="Times New Roman" w:eastAsia="Times New Roman" w:hAnsi="Times New Roman"/>
          <w:sz w:val="18"/>
          <w:szCs w:val="18"/>
          <w:u w:val="single" w:color="auto"/>
          <w:color w:val="0000FF"/>
          <w:highlight w:val="white"/>
        </w:rPr>
        <w:t>of Subsidiaries</w:t>
      </w:r>
    </w:p>
    <w:p>
      <w:pPr>
        <w:spacing w:after="0" w:line="117" w:lineRule="exact"/>
        <w:rPr>
          <w:sz w:val="20"/>
          <w:szCs w:val="20"/>
          <w:color w:val="auto"/>
        </w:rPr>
      </w:pPr>
    </w:p>
    <w:p>
      <w:pPr>
        <w:jc w:val="both"/>
        <w:ind w:right="1700"/>
        <w:spacing w:after="0" w:line="371" w:lineRule="auto"/>
        <w:rPr>
          <w:sz w:val="20"/>
          <w:szCs w:val="20"/>
          <w:color w:val="auto"/>
        </w:rPr>
      </w:pPr>
      <w:r>
        <w:rPr>
          <w:rFonts w:ascii="Times New Roman" w:cs="Times New Roman" w:eastAsia="Times New Roman" w:hAnsi="Times New Roman"/>
          <w:sz w:val="17"/>
          <w:szCs w:val="17"/>
          <w:u w:val="single" w:color="auto"/>
          <w:color w:val="0000FF"/>
        </w:rPr>
        <w:t xml:space="preserve">Consent </w:t>
      </w:r>
      <w:r>
        <w:rPr>
          <w:rFonts w:ascii="Times New Roman" w:cs="Times New Roman" w:eastAsia="Times New Roman" w:hAnsi="Times New Roman"/>
          <w:sz w:val="17"/>
          <w:szCs w:val="17"/>
          <w:u w:val="single" w:color="auto"/>
          <w:color w:val="0000FF"/>
          <w:highlight w:val="white"/>
        </w:rPr>
        <w:t>of PricewaterhouseCoopers LLP, Independent Registered Public Accounting Firm to the Registrant</w:t>
      </w:r>
      <w:r>
        <w:rPr>
          <w:rFonts w:ascii="Times New Roman" w:cs="Times New Roman" w:eastAsia="Times New Roman" w:hAnsi="Times New Roman"/>
          <w:sz w:val="17"/>
          <w:szCs w:val="17"/>
          <w:u w:val="single" w:color="auto"/>
          <w:color w:val="0000FF"/>
        </w:rPr>
        <w:t xml:space="preserve"> Certification of the Chief Executive Officer, as required by Section 302 of the Sarbanes-Oxley Act of 2002 Certification of the Chief Financial Officer, as required by Section 302 of the Sarbanes-Oxley Act of 2002</w:t>
      </w: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480"/>
            <w:col w:w="9460"/>
          </w:cols>
          <w:pgMar w:left="320" w:top="337" w:right="359" w:bottom="1440" w:gutter="0" w:footer="0" w:header="0"/>
        </w:sectPr>
      </w:pPr>
    </w:p>
    <w:bookmarkStart w:id="114" w:name="page115"/>
    <w:bookmarkEnd w:id="114"/>
    <w:p>
      <w:pPr>
        <w:spacing w:after="0" w:line="196" w:lineRule="auto"/>
        <w:framePr w:w="7540" w:h="160" w:wrap="auto" w:vAnchor="page" w:hAnchor="page" w:x="2040" w:y="1222"/>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Certifications of the Chief Executive Officer and Chief Financial Officer as required by 18 U.S.C. 1350</w:t>
      </w:r>
    </w:p>
    <w:p>
      <w:pPr>
        <w:spacing w:after="0" w:line="194" w:lineRule="auto"/>
        <w:framePr w:w="9540" w:h="336" w:wrap="auto" w:vAnchor="page" w:hAnchor="page" w:x="2040" w:y="1505"/>
        <w:rPr>
          <w:rFonts w:ascii="Times New Roman" w:cs="Times New Roman" w:eastAsia="Times New Roman" w:hAnsi="Times New Roman"/>
          <w:sz w:val="18"/>
          <w:szCs w:val="18"/>
          <w:u w:val="single" w:color="auto"/>
          <w:color w:val="0000FF"/>
          <w:highlight w:val="white"/>
        </w:rPr>
      </w:pPr>
      <w:hyperlink r:id="rId192">
        <w:r>
          <w:rPr>
            <w:rFonts w:ascii="Times New Roman" w:cs="Times New Roman" w:eastAsia="Times New Roman" w:hAnsi="Times New Roman"/>
            <w:sz w:val="18"/>
            <w:szCs w:val="18"/>
            <w:u w:val="single" w:color="auto"/>
            <w:color w:val="0000FF"/>
          </w:rPr>
          <w:t>Compensation Recovery Policy (filed as Exhibit 97 to the Registrant’s Annual Report on Form 10-K as filed April 16, 2024, and</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highlight w:val="white"/>
          </w:rPr>
          <w:t>incorporated herein by reference)</w:t>
        </w:r>
      </w:hyperlink>
    </w:p>
    <w:p>
      <w:pPr>
        <w:spacing w:after="0" w:line="196" w:lineRule="auto"/>
        <w:framePr w:w="2460" w:h="160" w:wrap="auto" w:vAnchor="page" w:hAnchor="page" w:x="2040" w:y="1978"/>
        <w:rPr>
          <w:rFonts w:ascii="Times New Roman" w:cs="Times New Roman" w:eastAsia="Times New Roman" w:hAnsi="Times New Roman"/>
          <w:sz w:val="17"/>
          <w:szCs w:val="17"/>
          <w:u w:val="single" w:color="auto"/>
          <w:color w:val="0000FF"/>
          <w:highlight w:val="white"/>
        </w:rPr>
      </w:pPr>
      <w:r>
        <w:rPr>
          <w:rFonts w:ascii="Times New Roman" w:cs="Times New Roman" w:eastAsia="Times New Roman" w:hAnsi="Times New Roman"/>
          <w:sz w:val="17"/>
          <w:szCs w:val="17"/>
          <w:u w:val="single" w:color="auto"/>
          <w:color w:val="0000FF"/>
          <w:highlight w:val="white"/>
        </w:rPr>
        <w:t>Inline XBRL Instance Document</w:t>
      </w:r>
    </w:p>
    <w:p>
      <w:pPr>
        <w:spacing w:after="0" w:line="196" w:lineRule="auto"/>
        <w:framePr w:w="4000" w:h="160" w:wrap="auto" w:vAnchor="page" w:hAnchor="page" w:x="2040" w:y="2261"/>
        <w:rPr>
          <w:rFonts w:ascii="Times New Roman" w:cs="Times New Roman" w:eastAsia="Times New Roman" w:hAnsi="Times New Roman"/>
          <w:sz w:val="17"/>
          <w:szCs w:val="17"/>
          <w:u w:val="single" w:color="auto"/>
          <w:color w:val="0000FF"/>
          <w:highlight w:val="white"/>
        </w:rPr>
      </w:pPr>
      <w:r>
        <w:rPr>
          <w:rFonts w:ascii="Times New Roman" w:cs="Times New Roman" w:eastAsia="Times New Roman" w:hAnsi="Times New Roman"/>
          <w:sz w:val="17"/>
          <w:szCs w:val="17"/>
          <w:u w:val="single" w:color="auto"/>
          <w:color w:val="0000FF"/>
          <w:highlight w:val="white"/>
        </w:rPr>
        <w:t>Inline XBRL Taxonomy Extension Schema Document</w:t>
      </w:r>
    </w:p>
    <w:p>
      <w:pPr>
        <w:spacing w:after="0" w:line="196" w:lineRule="auto"/>
        <w:framePr w:w="4960" w:h="160" w:wrap="auto" w:vAnchor="page" w:hAnchor="page" w:x="2040" w:y="2545"/>
        <w:rPr>
          <w:rFonts w:ascii="Times New Roman" w:cs="Times New Roman" w:eastAsia="Times New Roman" w:hAnsi="Times New Roman"/>
          <w:sz w:val="17"/>
          <w:szCs w:val="17"/>
          <w:u w:val="single" w:color="auto"/>
          <w:color w:val="0000FF"/>
          <w:highlight w:val="white"/>
        </w:rPr>
      </w:pPr>
      <w:r>
        <w:rPr>
          <w:rFonts w:ascii="Times New Roman" w:cs="Times New Roman" w:eastAsia="Times New Roman" w:hAnsi="Times New Roman"/>
          <w:sz w:val="17"/>
          <w:szCs w:val="17"/>
          <w:u w:val="single" w:color="auto"/>
          <w:color w:val="0000FF"/>
          <w:highlight w:val="white"/>
        </w:rPr>
        <w:t>Inline XBRL Taxonomy Extension Calculation Linkbase Document</w:t>
      </w:r>
    </w:p>
    <w:p>
      <w:pPr>
        <w:spacing w:after="0" w:line="297" w:lineRule="auto"/>
        <w:framePr w:w="5020" w:h="727" w:wrap="auto" w:vAnchor="page" w:hAnchor="page" w:x="2040" w:y="2828"/>
        <w:rPr>
          <w:rFonts w:ascii="Times New Roman" w:cs="Times New Roman" w:eastAsia="Times New Roman" w:hAnsi="Times New Roman"/>
          <w:sz w:val="17"/>
          <w:szCs w:val="17"/>
          <w:u w:val="single" w:color="auto"/>
          <w:color w:val="0000FF"/>
          <w:highlight w:val="white"/>
        </w:rPr>
      </w:pPr>
      <w:r>
        <w:rPr>
          <w:rFonts w:ascii="Times New Roman" w:cs="Times New Roman" w:eastAsia="Times New Roman" w:hAnsi="Times New Roman"/>
          <w:sz w:val="17"/>
          <w:szCs w:val="17"/>
          <w:u w:val="single" w:color="auto"/>
          <w:color w:val="0000FF"/>
          <w:highlight w:val="white"/>
        </w:rPr>
        <w:t>Inline XBRL Taxonomy Extension Definition Linkbase Document Inline XBRL Taxonomy Extension Label Linkbase Document Inline XBRL Taxonomy Extension Presentation Linkbase Document</w:t>
      </w:r>
    </w:p>
    <w:p>
      <w:pPr>
        <w:spacing w:after="0" w:line="194" w:lineRule="auto"/>
        <w:framePr w:w="7180" w:h="336" w:wrap="auto" w:vAnchor="page" w:hAnchor="page" w:x="2040" w:y="3679"/>
        <w:rPr>
          <w:rFonts w:ascii="Times New Roman" w:cs="Times New Roman" w:eastAsia="Times New Roman" w:hAnsi="Times New Roman"/>
          <w:sz w:val="18"/>
          <w:szCs w:val="18"/>
          <w:u w:val="single" w:color="auto"/>
          <w:color w:val="0000FF"/>
          <w:highlight w:val="white"/>
        </w:rPr>
      </w:pPr>
      <w:r>
        <w:rPr>
          <w:rFonts w:ascii="Times New Roman" w:cs="Times New Roman" w:eastAsia="Times New Roman" w:hAnsi="Times New Roman"/>
          <w:sz w:val="18"/>
          <w:szCs w:val="18"/>
          <w:u w:val="single" w:color="auto"/>
          <w:color w:val="0000FF"/>
          <w:highlight w:val="white"/>
        </w:rPr>
        <w:t>The cover page from this Annual Report on Form 10-K, formatted in Inline XBRL with applicable taxonomy extension information contained in Exhibits 101</w:t>
      </w: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rFonts w:ascii="Times New Roman" w:cs="Times New Roman" w:eastAsia="Times New Roman" w:hAnsi="Times New Roman"/>
          <w:sz w:val="18"/>
          <w:szCs w:val="18"/>
          <w:u w:val="single" w:color="auto"/>
          <w:color w:val="0000FF"/>
          <w:highlight w:val="white"/>
        </w:rPr>
      </w:pPr>
    </w:p>
    <w:p>
      <w:pPr>
        <w:spacing w:after="0" w:line="200" w:lineRule="exact"/>
        <w:rPr>
          <w:rFonts w:ascii="Times New Roman" w:cs="Times New Roman" w:eastAsia="Times New Roman" w:hAnsi="Times New Roman"/>
          <w:sz w:val="18"/>
          <w:szCs w:val="18"/>
          <w:u w:val="single" w:color="auto"/>
          <w:color w:val="0000FF"/>
          <w:highlight w:val="white"/>
        </w:rPr>
      </w:pPr>
    </w:p>
    <w:p>
      <w:pPr>
        <w:spacing w:after="0" w:line="257" w:lineRule="exact"/>
        <w:rPr>
          <w:rFonts w:ascii="Times New Roman" w:cs="Times New Roman" w:eastAsia="Times New Roman" w:hAnsi="Times New Roman"/>
          <w:sz w:val="18"/>
          <w:szCs w:val="18"/>
          <w:u w:val="single" w:color="auto"/>
          <w:color w:val="0000FF"/>
          <w:highlight w:val="white"/>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96" w:lineRule="exact"/>
        <w:rPr>
          <w:rFonts w:ascii="Times New Roman" w:cs="Times New Roman" w:eastAsia="Times New Roman" w:hAnsi="Times New Roman"/>
          <w:sz w:val="18"/>
          <w:szCs w:val="18"/>
          <w:u w:val="single" w:color="auto"/>
          <w:color w:val="0000FF"/>
          <w:highlight w:val="white"/>
        </w:rPr>
      </w:pPr>
    </w:p>
    <w:p>
      <w:pPr>
        <w:ind w:left="20"/>
        <w:spacing w:after="0"/>
        <w:rPr>
          <w:sz w:val="20"/>
          <w:szCs w:val="20"/>
          <w:color w:val="auto"/>
        </w:rPr>
      </w:pPr>
      <w:r>
        <w:rPr>
          <w:rFonts w:ascii="Times New Roman" w:cs="Times New Roman" w:eastAsia="Times New Roman" w:hAnsi="Times New Roman"/>
          <w:sz w:val="18"/>
          <w:szCs w:val="18"/>
          <w:color w:val="auto"/>
        </w:rPr>
        <w:t>97+</w:t>
      </w:r>
    </w:p>
    <w:p>
      <w:pPr>
        <w:spacing w:after="0" w:line="77" w:lineRule="exact"/>
        <w:rPr>
          <w:rFonts w:ascii="Times New Roman" w:cs="Times New Roman" w:eastAsia="Times New Roman" w:hAnsi="Times New Roman"/>
          <w:sz w:val="18"/>
          <w:szCs w:val="18"/>
          <w:u w:val="single" w:color="auto"/>
          <w:color w:val="0000FF"/>
          <w:highlight w:val="white"/>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77" w:lineRule="exact"/>
        <w:rPr>
          <w:rFonts w:ascii="Times New Roman" w:cs="Times New Roman" w:eastAsia="Times New Roman" w:hAnsi="Times New Roman"/>
          <w:sz w:val="18"/>
          <w:szCs w:val="18"/>
          <w:u w:val="single" w:color="auto"/>
          <w:color w:val="0000FF"/>
          <w:highlight w:val="white"/>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77" w:lineRule="exact"/>
        <w:rPr>
          <w:rFonts w:ascii="Times New Roman" w:cs="Times New Roman" w:eastAsia="Times New Roman" w:hAnsi="Times New Roman"/>
          <w:sz w:val="18"/>
          <w:szCs w:val="18"/>
          <w:u w:val="single" w:color="auto"/>
          <w:color w:val="0000FF"/>
          <w:highlight w:val="white"/>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77" w:lineRule="exact"/>
        <w:rPr>
          <w:rFonts w:ascii="Times New Roman" w:cs="Times New Roman" w:eastAsia="Times New Roman" w:hAnsi="Times New Roman"/>
          <w:sz w:val="18"/>
          <w:szCs w:val="18"/>
          <w:u w:val="single" w:color="auto"/>
          <w:color w:val="0000FF"/>
          <w:highlight w:val="white"/>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ind w:left="20"/>
        <w:spacing w:after="0"/>
        <w:rPr>
          <w:sz w:val="20"/>
          <w:szCs w:val="20"/>
          <w:color w:val="auto"/>
        </w:rPr>
      </w:pPr>
      <w:r>
        <w:rPr>
          <w:rFonts w:ascii="Times New Roman" w:cs="Times New Roman" w:eastAsia="Times New Roman" w:hAnsi="Times New Roman"/>
          <w:sz w:val="18"/>
          <w:szCs w:val="18"/>
          <w:color w:val="auto"/>
        </w:rPr>
        <w:t>101.LAB*</w:t>
      </w: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96" w:lineRule="exact"/>
        <w:rPr>
          <w:rFonts w:ascii="Times New Roman" w:cs="Times New Roman" w:eastAsia="Times New Roman" w:hAnsi="Times New Roman"/>
          <w:sz w:val="18"/>
          <w:szCs w:val="18"/>
          <w:u w:val="single" w:color="auto"/>
          <w:color w:val="0000FF"/>
          <w:highlight w:val="white"/>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104" w:lineRule="exact"/>
        <w:rPr>
          <w:rFonts w:ascii="Times New Roman" w:cs="Times New Roman" w:eastAsia="Times New Roman" w:hAnsi="Times New Roman"/>
          <w:sz w:val="18"/>
          <w:szCs w:val="18"/>
          <w:u w:val="single" w:color="auto"/>
          <w:color w:val="0000FF"/>
          <w:highlight w:val="white"/>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63" w:lineRule="exact"/>
        <w:rPr>
          <w:rFonts w:ascii="Times New Roman" w:cs="Times New Roman" w:eastAsia="Times New Roman" w:hAnsi="Times New Roman"/>
          <w:sz w:val="18"/>
          <w:szCs w:val="18"/>
          <w:u w:val="single" w:color="auto"/>
          <w:color w:val="0000FF"/>
          <w:highlight w:val="white"/>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rFonts w:ascii="Times New Roman" w:cs="Times New Roman" w:eastAsia="Times New Roman" w:hAnsi="Times New Roman"/>
          <w:sz w:val="18"/>
          <w:szCs w:val="18"/>
          <w:u w:val="single" w:color="auto"/>
          <w:color w:val="0000FF"/>
          <w:highlight w:val="white"/>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63" w:lineRule="exact"/>
        <w:rPr>
          <w:rFonts w:ascii="Times New Roman" w:cs="Times New Roman" w:eastAsia="Times New Roman" w:hAnsi="Times New Roman"/>
          <w:sz w:val="18"/>
          <w:szCs w:val="18"/>
          <w:u w:val="single" w:color="auto"/>
          <w:color w:val="0000FF"/>
          <w:highlight w:val="white"/>
        </w:rPr>
      </w:pPr>
    </w:p>
    <w:p>
      <w:pPr>
        <w:ind w:right="3059" w:firstLine="8"/>
        <w:spacing w:after="0" w:line="313" w:lineRule="auto"/>
        <w:tabs>
          <w:tab w:leader="none" w:pos="2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Regulations S-K. + Indicates a management contract or compensatory plan or arrangement.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has been granted with respect to certain portions of this exhibit.</w:t>
      </w:r>
    </w:p>
    <w:p>
      <w:pPr>
        <w:spacing w:after="0" w:line="221" w:lineRule="exact"/>
        <w:rPr>
          <w:rFonts w:ascii="Times New Roman" w:cs="Times New Roman" w:eastAsia="Times New Roman" w:hAnsi="Times New Roman"/>
          <w:sz w:val="18"/>
          <w:szCs w:val="18"/>
          <w:u w:val="single" w:color="auto"/>
          <w:color w:val="0000FF"/>
          <w:highlight w:val="white"/>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10-K Summary</w:t>
      </w:r>
    </w:p>
    <w:p>
      <w:pPr>
        <w:spacing w:after="0" w:line="229" w:lineRule="exact"/>
        <w:rPr>
          <w:rFonts w:ascii="Times New Roman" w:cs="Times New Roman" w:eastAsia="Times New Roman" w:hAnsi="Times New Roman"/>
          <w:sz w:val="18"/>
          <w:szCs w:val="18"/>
          <w:u w:val="single" w:color="auto"/>
          <w:color w:val="0000FF"/>
          <w:highlight w:val="white"/>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u w:val="single" w:color="auto"/>
          <w:color w:val="0000FF"/>
          <w:highlight w:val="white"/>
        </w:rPr>
      </w:pPr>
    </w:p>
    <w:p>
      <w:pPr>
        <w:spacing w:after="0" w:line="363" w:lineRule="exact"/>
        <w:rPr>
          <w:rFonts w:ascii="Times New Roman" w:cs="Times New Roman" w:eastAsia="Times New Roman" w:hAnsi="Times New Roman"/>
          <w:sz w:val="18"/>
          <w:szCs w:val="18"/>
          <w:u w:val="single" w:color="auto"/>
          <w:color w:val="0000FF"/>
          <w:highlight w:val="white"/>
        </w:rPr>
      </w:pPr>
    </w:p>
    <w:p>
      <w:pPr>
        <w:ind w:left="55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rFonts w:ascii="Times New Roman" w:cs="Times New Roman" w:eastAsia="Times New Roman" w:hAnsi="Times New Roman"/>
          <w:sz w:val="18"/>
          <w:szCs w:val="18"/>
          <w:u w:val="single" w:color="auto"/>
          <w:color w:val="0000FF"/>
          <w:highlight w:val="white"/>
        </w:rPr>
      </w:pPr>
      <w:r>
        <w:rPr>
          <w:rFonts w:ascii="Times New Roman" w:cs="Times New Roman" w:eastAsia="Times New Roman" w:hAnsi="Times New Roman"/>
          <w:sz w:val="18"/>
          <w:szCs w:val="18"/>
          <w:u w:val="single" w:color="auto"/>
          <w:color w:val="0000FF"/>
          <w:highlight w:val="white"/>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94"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18"/>
          <w:szCs w:val="18"/>
          <w:color w:val="auto"/>
        </w:rPr>
        <w:t>Dated: March 4, 2026</w:t>
      </w:r>
      <w:r>
        <w:rPr>
          <w:sz w:val="20"/>
          <w:szCs w:val="20"/>
          <w:color w:val="auto"/>
        </w:rPr>
        <w:tab/>
      </w:r>
      <w:r>
        <w:rPr>
          <w:rFonts w:ascii="Times New Roman" w:cs="Times New Roman" w:eastAsia="Times New Roman" w:hAnsi="Times New Roman"/>
          <w:sz w:val="18"/>
          <w:szCs w:val="18"/>
          <w:color w:val="auto"/>
        </w:rPr>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34290</wp:posOffset>
            </wp:positionV>
            <wp:extent cx="37287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4">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Shankar Musunuri, Ph.D., MBA</w:t>
      </w:r>
    </w:p>
    <w:p>
      <w:pPr>
        <w:ind w:left="5380"/>
        <w:spacing w:after="0" w:line="234" w:lineRule="auto"/>
        <w:rPr>
          <w:sz w:val="20"/>
          <w:szCs w:val="20"/>
          <w:color w:val="auto"/>
        </w:rPr>
      </w:pPr>
      <w:r>
        <w:rPr>
          <w:rFonts w:ascii="Times New Roman" w:cs="Times New Roman" w:eastAsia="Times New Roman" w:hAnsi="Times New Roman"/>
          <w:sz w:val="18"/>
          <w:szCs w:val="18"/>
          <w:color w:val="auto"/>
        </w:rPr>
        <w:t>Chairman, Chief Executive Officer &amp; Co-Founder</w:t>
      </w:r>
    </w:p>
    <w:p>
      <w:pPr>
        <w:spacing w:after="0" w:line="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6"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18"/>
          <w:szCs w:val="18"/>
          <w:color w:val="auto"/>
        </w:rPr>
        <w:t>Dated: March 4, 2026</w:t>
      </w:r>
      <w:r>
        <w:rPr>
          <w:sz w:val="20"/>
          <w:szCs w:val="20"/>
          <w:color w:val="auto"/>
        </w:rPr>
        <w:tab/>
      </w:r>
      <w:r>
        <w:rPr>
          <w:rFonts w:ascii="Times New Roman" w:cs="Times New Roman" w:eastAsia="Times New Roman" w:hAnsi="Times New Roman"/>
          <w:sz w:val="17"/>
          <w:szCs w:val="17"/>
          <w:color w:val="auto"/>
        </w:rPr>
        <w:t>/s/ Ramesh Ramachandran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34290</wp:posOffset>
            </wp:positionV>
            <wp:extent cx="37287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3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Ramesh Ramachandran, CPA, MBA, CMA</w:t>
      </w:r>
    </w:p>
    <w:p>
      <w:pPr>
        <w:ind w:left="5380"/>
        <w:spacing w:after="0" w:line="219" w:lineRule="auto"/>
        <w:rPr>
          <w:sz w:val="20"/>
          <w:szCs w:val="20"/>
          <w:color w:val="auto"/>
        </w:rPr>
      </w:pPr>
      <w:r>
        <w:rPr>
          <w:rFonts w:ascii="Times New Roman" w:cs="Times New Roman" w:eastAsia="Times New Roman" w:hAnsi="Times New Roman"/>
          <w:sz w:val="18"/>
          <w:szCs w:val="18"/>
          <w:color w:val="auto"/>
        </w:rPr>
        <w:t>Chief Accounting Officer</w:t>
      </w:r>
    </w:p>
    <w:p>
      <w:pPr>
        <w:ind w:left="53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3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546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520"/>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Shankar Musunuri</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&amp; Co-Founder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Shankar Musunuri</w:t>
            </w:r>
          </w:p>
        </w:tc>
        <w:tc>
          <w:tcPr>
            <w:tcW w:w="100" w:type="dxa"/>
            <w:vAlign w:val="bottom"/>
          </w:tcPr>
          <w:p>
            <w:pPr>
              <w:spacing w:after="0"/>
              <w:rPr>
                <w:sz w:val="20"/>
                <w:szCs w:val="20"/>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60" w:type="dxa"/>
            <w:vAlign w:val="bottom"/>
          </w:tcPr>
          <w:p>
            <w:pPr>
              <w:spacing w:after="0"/>
              <w:rPr>
                <w:sz w:val="20"/>
                <w:szCs w:val="20"/>
                <w:color w:val="auto"/>
              </w:rPr>
            </w:pPr>
          </w:p>
        </w:tc>
      </w:tr>
      <w:tr>
        <w:trPr>
          <w:trHeight w:val="567"/>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Ramesh Ramachandran</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Ramesh Ramachandran</w:t>
            </w:r>
          </w:p>
        </w:tc>
        <w:tc>
          <w:tcPr>
            <w:tcW w:w="100" w:type="dxa"/>
            <w:vAlign w:val="bottom"/>
          </w:tcPr>
          <w:p>
            <w:pPr>
              <w:spacing w:after="0"/>
              <w:rPr>
                <w:sz w:val="20"/>
                <w:szCs w:val="20"/>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860" w:type="dxa"/>
            <w:vAlign w:val="bottom"/>
          </w:tcPr>
          <w:p>
            <w:pPr>
              <w:spacing w:after="0"/>
              <w:rPr>
                <w:sz w:val="20"/>
                <w:szCs w:val="20"/>
                <w:color w:val="auto"/>
              </w:rPr>
            </w:pPr>
          </w:p>
        </w:tc>
      </w:tr>
      <w:tr>
        <w:trPr>
          <w:trHeight w:val="567"/>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Junge Zhang</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Junge Zhang</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567"/>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Uday Kompella</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Uday Kompella</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567"/>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Kirsten Castillo</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Kirsten Castillo</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567"/>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Blaise Coleman</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Blaise Coleman</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567"/>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Satish Chandran</w:t>
            </w:r>
          </w:p>
        </w:tc>
        <w:tc>
          <w:tcPr>
            <w:tcW w:w="10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2026</w:t>
            </w: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Satish Chandran</w:t>
            </w: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877"/>
        </w:trPr>
        <w:tc>
          <w:tcPr>
            <w:tcW w:w="3720" w:type="dxa"/>
            <w:vAlign w:val="bottom"/>
          </w:tcPr>
          <w:p>
            <w:pPr>
              <w:spacing w:after="0"/>
              <w:rPr>
                <w:sz w:val="24"/>
                <w:szCs w:val="24"/>
                <w:color w:val="auto"/>
              </w:rPr>
            </w:pPr>
          </w:p>
        </w:tc>
        <w:tc>
          <w:tcPr>
            <w:tcW w:w="5560" w:type="dxa"/>
            <w:vAlign w:val="bottom"/>
            <w:gridSpan w:val="2"/>
          </w:tcPr>
          <w:p>
            <w:pPr>
              <w:jc w:val="right"/>
              <w:ind w:right="34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006"/>
        </w:trPr>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912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60" w:type="dxa"/>
            <w:vAlign w:val="bottom"/>
            <w:gridSpan w:val="5"/>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rPr>
              <w:t>OCUGEN, INC.</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196"/>
        </w:trPr>
        <w:tc>
          <w:tcPr>
            <w:tcW w:w="20" w:type="dxa"/>
            <w:vAlign w:val="bottom"/>
          </w:tcPr>
          <w:p>
            <w:pPr>
              <w:spacing w:after="0"/>
              <w:rPr>
                <w:sz w:val="17"/>
                <w:szCs w:val="17"/>
                <w:color w:val="auto"/>
              </w:rPr>
            </w:pPr>
          </w:p>
        </w:tc>
        <w:tc>
          <w:tcPr>
            <w:tcW w:w="103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8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5"/>
              </w:rPr>
              <w:t>F-2</w:t>
            </w:r>
          </w:p>
        </w:tc>
      </w:tr>
      <w:tr>
        <w:trPr>
          <w:trHeight w:val="399"/>
        </w:trPr>
        <w:tc>
          <w:tcPr>
            <w:tcW w:w="20" w:type="dxa"/>
            <w:vAlign w:val="bottom"/>
          </w:tcPr>
          <w:p>
            <w:pPr>
              <w:spacing w:after="0"/>
              <w:rPr>
                <w:sz w:val="24"/>
                <w:szCs w:val="24"/>
                <w:color w:val="auto"/>
              </w:rPr>
            </w:pPr>
          </w:p>
        </w:tc>
        <w:tc>
          <w:tcPr>
            <w:tcW w:w="42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160" w:type="dxa"/>
            <w:vAlign w:val="bottom"/>
            <w:gridSpan w:val="5"/>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December 31, 2025 and 2024</w:t>
            </w:r>
          </w:p>
        </w:tc>
        <w:tc>
          <w:tcPr>
            <w:tcW w:w="5220" w:type="dxa"/>
            <w:vAlign w:val="bottom"/>
            <w:gridSpan w:val="4"/>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F-4</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2025 and 202</w:t>
            </w:r>
            <w:r>
              <w:rPr>
                <w:rFonts w:ascii="Times New Roman" w:cs="Times New Roman" w:eastAsia="Times New Roman" w:hAnsi="Times New Roman"/>
                <w:sz w:val="18"/>
                <w:szCs w:val="18"/>
                <w:color w:val="000000"/>
              </w:rPr>
              <w:t>4</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F-5</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and 202</w:t>
            </w:r>
            <w:r>
              <w:rPr>
                <w:rFonts w:ascii="Times New Roman" w:cs="Times New Roman" w:eastAsia="Times New Roman" w:hAnsi="Times New Roman"/>
                <w:sz w:val="18"/>
                <w:szCs w:val="18"/>
                <w:color w:val="000000"/>
              </w:rPr>
              <w:t>4</w:t>
            </w:r>
          </w:p>
        </w:tc>
        <w:tc>
          <w:tcPr>
            <w:tcW w:w="148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and 202</w:t>
            </w:r>
            <w:r>
              <w:rPr>
                <w:rFonts w:ascii="Times New Roman" w:cs="Times New Roman" w:eastAsia="Times New Roman" w:hAnsi="Times New Roman"/>
                <w:sz w:val="18"/>
                <w:szCs w:val="18"/>
                <w:color w:val="000000"/>
              </w:rPr>
              <w:t>4</w:t>
            </w:r>
          </w:p>
        </w:tc>
        <w:tc>
          <w:tcPr>
            <w:tcW w:w="2640" w:type="dxa"/>
            <w:vAlign w:val="bottom"/>
            <w:gridSpan w:val="2"/>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3300" w:type="dxa"/>
            <w:vAlign w:val="bottom"/>
            <w:gridSpan w:val="3"/>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F-9</w:t>
            </w:r>
          </w:p>
        </w:tc>
      </w:tr>
      <w:tr>
        <w:trPr>
          <w:trHeight w:val="91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8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20" w:type="dxa"/>
            <w:vAlign w:val="bottom"/>
            <w:gridSpan w:val="4"/>
          </w:tcPr>
          <w:p>
            <w:pPr>
              <w:jc w:val="center"/>
              <w:ind w:right="4340"/>
              <w:spacing w:after="0"/>
              <w:rPr>
                <w:sz w:val="20"/>
                <w:szCs w:val="20"/>
                <w:color w:val="auto"/>
              </w:rPr>
            </w:pPr>
            <w:r>
              <w:rPr>
                <w:rFonts w:ascii="Times New Roman" w:cs="Times New Roman" w:eastAsia="Times New Roman" w:hAnsi="Times New Roman"/>
                <w:sz w:val="18"/>
                <w:szCs w:val="18"/>
                <w:color w:val="auto"/>
                <w:w w:val="95"/>
              </w:rPr>
              <w:t>F-1</w:t>
            </w:r>
          </w:p>
        </w:tc>
        <w:tc>
          <w:tcPr>
            <w:tcW w:w="30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360" w:firstLine="3364"/>
        <w:spacing w:after="0" w:line="54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Stockholders of Ocugen, Inc. </w:t>
      </w:r>
      <w:r>
        <w:rPr>
          <w:rFonts w:ascii="Times New Roman" w:cs="Times New Roman" w:eastAsia="Times New Roman" w:hAnsi="Times New Roman"/>
          <w:sz w:val="18"/>
          <w:szCs w:val="18"/>
          <w:b w:val="1"/>
          <w:bCs w:val="1"/>
          <w:i w:val="1"/>
          <w:iCs w:val="1"/>
          <w:color w:val="auto"/>
        </w:rPr>
        <w:t>Opinion on the Financial Statements</w:t>
      </w:r>
    </w:p>
    <w:p>
      <w:pPr>
        <w:spacing w:after="0" w:line="2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Ocugen, Inc. and its subsidiaries (the “Company”) as of December 31, 2025 and 2024,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net losses since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Collaborative Arrangement Revenue</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described in Notes 2 and 3 to the consolidated financial statements, the Company recorded collaborative arrangement revenue of $4.4 million for the year ended December 31, 2025. The Company recognizes collaborative arrangement revenue over time using an input method using ratio of costs incurred to date compared to total estimated costs required to satisfy the performance obligation. The Company recognizes as collaboration revenue the amount of the transaction price that is allocated to the respective performance obligation as each performance obligation is satisfied over time, with progress toward completion measured based on actual costs incurred relative to total estimated costs to be incurred over the life of the arrangement.</w:t>
      </w:r>
    </w:p>
    <w:p>
      <w:pPr>
        <w:spacing w:after="0" w:line="21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for collaborative arrangement revenue is a critical audit matter is a high degree of auditor effort in performing procedures related to collaborative arrangement revenue.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reading the collaborative arrangement; (ii) evaluating the reasonableness of the methodology applied by management; and (iii) testing the completeness and accuracy of the actual costs incurred to date, including by confirming costs incurred by the collaboration partner directly with the collaboration partner.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61,682</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obligations, less current portion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 term debt,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52,810</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at December 31, 2025 and 2024</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B Convertible Preferred Stock; zero shares issued and outstanding at December 31, 2025 and</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$0.01 par value; 390,000,000 shares authorized; 312,501,472 and 291,489,058 shares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and 312,379,972 and 291,367,558 shares outstanding at December 31, 2025 and 2024, respectively</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121,500 shares at December 31, 2025 and 2024</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392,763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366,938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(408,067)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(340,221)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58,812</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(54,757)</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30"/>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(67,833)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(54,026)</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(54,010)</w:t>
            </w:r>
          </w:p>
        </w:tc>
        <w:tc>
          <w:tcPr>
            <w:tcW w:w="0" w:type="dxa"/>
            <w:vAlign w:val="bottom"/>
          </w:tcPr>
          <w:p>
            <w:pPr>
              <w:spacing w:after="0"/>
              <w:rPr>
                <w:sz w:val="1"/>
                <w:szCs w:val="1"/>
                <w:color w:val="auto"/>
              </w:rPr>
            </w:pPr>
          </w:p>
        </w:tc>
      </w:tr>
      <w:tr>
        <w:trPr>
          <w:trHeight w:val="25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shares used in calculating net loss per common share — basic and diluted</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300,167,989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270,995,121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attributable to common shareholders — basic and diluted</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Series B Convertible Preferred shareholders — basic and diluted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shares used in calculating net loss per Series B Convertible Preferred Stock — basic and diluted</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54,745</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attributable to Series B Convertible Preferred shareholders — basic and diluted</w:t>
            </w: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68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Series B Convertible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1680" w:type="dxa"/>
            <w:vAlign w:val="bottom"/>
            <w:gridSpan w:val="5"/>
            <w:vMerge w:val="continue"/>
          </w:tcPr>
          <w:p>
            <w:pPr>
              <w:spacing w:after="0"/>
              <w:rPr>
                <w:sz w:val="7"/>
                <w:szCs w:val="7"/>
                <w:color w:val="auto"/>
              </w:rPr>
            </w:pPr>
          </w:p>
        </w:tc>
        <w:tc>
          <w:tcPr>
            <w:tcW w:w="1680" w:type="dxa"/>
            <w:vAlign w:val="bottom"/>
            <w:gridSpan w:val="4"/>
            <w:vMerge w:val="restart"/>
          </w:tcPr>
          <w:p>
            <w:pPr>
              <w:jc w:val="right"/>
              <w:ind w:right="247"/>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vMerge w:val="restart"/>
          </w:tcPr>
          <w:p>
            <w:pPr>
              <w:jc w:val="center"/>
              <w:ind w:right="60"/>
              <w:spacing w:after="0" w:line="145"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7"/>
                <w:szCs w:val="7"/>
                <w:color w:val="auto"/>
              </w:rPr>
            </w:pPr>
          </w:p>
        </w:tc>
        <w:tc>
          <w:tcPr>
            <w:tcW w:w="1100" w:type="dxa"/>
            <w:vAlign w:val="bottom"/>
            <w:gridSpan w:val="2"/>
            <w:vMerge w:val="restart"/>
          </w:tcPr>
          <w:p>
            <w:pPr>
              <w:jc w:val="center"/>
              <w:ind w:right="160"/>
              <w:spacing w:after="0" w:line="14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400" w:type="dxa"/>
            <w:vAlign w:val="bottom"/>
          </w:tcPr>
          <w:p>
            <w:pPr>
              <w:spacing w:after="0"/>
              <w:rPr>
                <w:sz w:val="5"/>
                <w:szCs w:val="5"/>
                <w:color w:val="auto"/>
              </w:rPr>
            </w:pPr>
          </w:p>
        </w:tc>
        <w:tc>
          <w:tcPr>
            <w:tcW w:w="1600" w:type="dxa"/>
            <w:vAlign w:val="bottom"/>
            <w:gridSpan w:val="4"/>
            <w:vMerge w:val="restart"/>
          </w:tcPr>
          <w:p>
            <w:pPr>
              <w:jc w:val="right"/>
              <w:ind w:right="187"/>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400" w:type="dxa"/>
            <w:vAlign w:val="bottom"/>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00" w:type="dxa"/>
            <w:vAlign w:val="bottom"/>
            <w:gridSpan w:val="3"/>
          </w:tcPr>
          <w:p>
            <w:pPr>
              <w:jc w:val="right"/>
              <w:ind w:right="140"/>
              <w:spacing w:after="0" w:line="122"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0"/>
                <w:szCs w:val="10"/>
                <w:color w:val="auto"/>
              </w:rPr>
            </w:pPr>
          </w:p>
        </w:tc>
        <w:tc>
          <w:tcPr>
            <w:tcW w:w="740" w:type="dxa"/>
            <w:vAlign w:val="bottom"/>
            <w:gridSpan w:val="2"/>
          </w:tcPr>
          <w:p>
            <w:pPr>
              <w:jc w:val="center"/>
              <w:ind w:right="200"/>
              <w:spacing w:after="0" w:line="122" w:lineRule="exact"/>
              <w:rPr>
                <w:sz w:val="20"/>
                <w:szCs w:val="20"/>
                <w:color w:val="auto"/>
              </w:rPr>
            </w:pPr>
            <w:r>
              <w:rPr>
                <w:rFonts w:ascii="Arial" w:cs="Arial" w:eastAsia="Arial" w:hAnsi="Arial"/>
                <w:sz w:val="14"/>
                <w:szCs w:val="14"/>
                <w:b w:val="1"/>
                <w:bCs w:val="1"/>
                <w:color w:val="auto"/>
              </w:rPr>
              <w:t>Paid in</w:t>
            </w:r>
          </w:p>
        </w:tc>
        <w:tc>
          <w:tcPr>
            <w:tcW w:w="120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line="122"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7"/>
        </w:trPr>
        <w:tc>
          <w:tcPr>
            <w:tcW w:w="140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w:t>
            </w:r>
          </w:p>
        </w:tc>
        <w:tc>
          <w:tcPr>
            <w:tcW w:w="760" w:type="dxa"/>
            <w:vAlign w:val="bottom"/>
            <w:tcBorders>
              <w:top w:val="single" w:sz="8" w:color="auto"/>
            </w:tcBorders>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256,688,304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324,191</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(286,167)</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40,564</w:t>
            </w:r>
          </w:p>
        </w:tc>
        <w:tc>
          <w:tcPr>
            <w:tcW w:w="0" w:type="dxa"/>
            <w:vAlign w:val="bottom"/>
          </w:tcPr>
          <w:p>
            <w:pPr>
              <w:spacing w:after="0"/>
              <w:rPr>
                <w:sz w:val="1"/>
                <w:szCs w:val="1"/>
                <w:color w:val="auto"/>
              </w:rPr>
            </w:pPr>
          </w:p>
        </w:tc>
      </w:tr>
      <w:tr>
        <w:trPr>
          <w:trHeight w:val="200"/>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7,427</w:t>
            </w:r>
          </w:p>
        </w:tc>
        <w:tc>
          <w:tcPr>
            <w:tcW w:w="0" w:type="dxa"/>
            <w:vAlign w:val="bottom"/>
          </w:tcPr>
          <w:p>
            <w:pPr>
              <w:spacing w:after="0"/>
              <w:rPr>
                <w:sz w:val="1"/>
                <w:szCs w:val="1"/>
                <w:color w:val="auto"/>
              </w:rPr>
            </w:pPr>
          </w:p>
        </w:tc>
      </w:tr>
      <w:tr>
        <w:trPr>
          <w:trHeight w:val="198"/>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stock option</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exercises and restricted</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unit vesting, net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1,027,025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39"/>
        </w:trPr>
        <w:tc>
          <w:tcPr>
            <w:tcW w:w="1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capital raises,</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33,773,729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35,737</w:t>
            </w:r>
          </w:p>
        </w:tc>
        <w:tc>
          <w:tcPr>
            <w:tcW w:w="0" w:type="dxa"/>
            <w:vAlign w:val="bottom"/>
          </w:tcPr>
          <w:p>
            <w:pPr>
              <w:spacing w:after="0"/>
              <w:rPr>
                <w:sz w:val="1"/>
                <w:szCs w:val="1"/>
                <w:color w:val="auto"/>
              </w:rPr>
            </w:pPr>
          </w:p>
        </w:tc>
      </w:tr>
      <w:tr>
        <w:trPr>
          <w:trHeight w:val="203"/>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B Convertible</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Preferred Stock</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reacquisition</w:t>
            </w: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8"/>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(54,054)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(54,054)</w:t>
            </w:r>
          </w:p>
        </w:tc>
        <w:tc>
          <w:tcPr>
            <w:tcW w:w="0" w:type="dxa"/>
            <w:vAlign w:val="bottom"/>
          </w:tcPr>
          <w:p>
            <w:pPr>
              <w:spacing w:after="0"/>
              <w:rPr>
                <w:sz w:val="1"/>
                <w:szCs w:val="1"/>
                <w:color w:val="auto"/>
              </w:rPr>
            </w:pPr>
          </w:p>
        </w:tc>
      </w:tr>
      <w:tr>
        <w:trPr>
          <w:trHeight w:val="117"/>
        </w:trPr>
        <w:tc>
          <w:tcPr>
            <w:tcW w:w="14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291,489,058</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366,938</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0"/>
                <w:szCs w:val="10"/>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(340,221)</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29,632</w:t>
            </w:r>
          </w:p>
        </w:tc>
        <w:tc>
          <w:tcPr>
            <w:tcW w:w="0" w:type="dxa"/>
            <w:vAlign w:val="bottom"/>
          </w:tcPr>
          <w:p>
            <w:pPr>
              <w:spacing w:after="0"/>
              <w:rPr>
                <w:sz w:val="1"/>
                <w:szCs w:val="1"/>
                <w:color w:val="auto"/>
              </w:rPr>
            </w:pPr>
          </w:p>
        </w:tc>
      </w:tr>
      <w:tr>
        <w:trPr>
          <w:trHeight w:val="195"/>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7,707</w:t>
            </w:r>
          </w:p>
        </w:tc>
        <w:tc>
          <w:tcPr>
            <w:tcW w:w="0" w:type="dxa"/>
            <w:vAlign w:val="bottom"/>
          </w:tcPr>
          <w:p>
            <w:pPr>
              <w:spacing w:after="0"/>
              <w:rPr>
                <w:sz w:val="1"/>
                <w:szCs w:val="1"/>
                <w:color w:val="auto"/>
              </w:rPr>
            </w:pPr>
          </w:p>
        </w:tc>
      </w:tr>
      <w:tr>
        <w:trPr>
          <w:trHeight w:val="198"/>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stock option</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exercises and restricted</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1,012,414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8"/>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unit vesting, net</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4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for capital raises,</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18,474</w:t>
            </w: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3"/>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(67,846)</w:t>
            </w:r>
          </w:p>
        </w:tc>
        <w:tc>
          <w:tcPr>
            <w:tcW w:w="0" w:type="dxa"/>
            <w:vAlign w:val="bottom"/>
          </w:tcPr>
          <w:p>
            <w:pPr>
              <w:spacing w:after="0"/>
              <w:rPr>
                <w:sz w:val="1"/>
                <w:szCs w:val="1"/>
                <w:color w:val="auto"/>
              </w:rPr>
            </w:pPr>
          </w:p>
        </w:tc>
      </w:tr>
      <w:tr>
        <w:trPr>
          <w:trHeight w:val="117"/>
        </w:trPr>
        <w:tc>
          <w:tcPr>
            <w:tcW w:w="14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312,501,472</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3,125</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392,763</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80" w:type="dxa"/>
            <w:vAlign w:val="bottom"/>
          </w:tcPr>
          <w:p>
            <w:pPr>
              <w:spacing w:after="0"/>
              <w:rPr>
                <w:sz w:val="10"/>
                <w:szCs w:val="10"/>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(408,067)</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(12,166)</w:t>
            </w:r>
          </w:p>
        </w:tc>
        <w:tc>
          <w:tcPr>
            <w:tcW w:w="0" w:type="dxa"/>
            <w:vAlign w:val="bottom"/>
          </w:tcPr>
          <w:p>
            <w:pPr>
              <w:spacing w:after="0"/>
              <w:rPr>
                <w:sz w:val="1"/>
                <w:szCs w:val="1"/>
                <w:color w:val="auto"/>
              </w:rPr>
            </w:pPr>
          </w:p>
        </w:tc>
      </w:tr>
      <w:tr>
        <w:trPr>
          <w:trHeight w:val="173"/>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8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80"/>
          </w:cols>
          <w:pgMar w:left="1200" w:top="1157" w:right="12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27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191"/>
        </w:trPr>
        <w:tc>
          <w:tcPr>
            <w:tcW w:w="78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(67,846)</w:t>
            </w:r>
          </w:p>
        </w:tc>
        <w:tc>
          <w:tcPr>
            <w:tcW w:w="10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(54,054)</w:t>
            </w: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2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29"/>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expense (income) from collaborative arrangements, net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r>
      <w:tr>
        <w:trPr>
          <w:trHeight w:val="230"/>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r>
      <w:tr>
        <w:trPr>
          <w:trHeight w:val="229"/>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r>
      <w:tr>
        <w:trPr>
          <w:trHeight w:val="229"/>
        </w:trPr>
        <w:tc>
          <w:tcPr>
            <w:tcW w:w="7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Lease obligations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(42,142)</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29"/>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Payment of security deposits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38,556</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equity issuance costs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29"/>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9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EB-5 loan</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64,858</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changes in exchange rate on cash and restricted cash</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restricted cash</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19,359</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beginning of period</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39,462</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end of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58,821</w:t>
            </w: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Year ended December 31,</w:t>
            </w:r>
          </w:p>
        </w:tc>
      </w:tr>
      <w:tr>
        <w:trPr>
          <w:trHeight w:val="191"/>
        </w:trPr>
        <w:tc>
          <w:tcPr>
            <w:tcW w:w="78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transactions: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related to operating leases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Series B Convertible Preferred Stock reacquisition</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for Avenue Capital agreement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Ocugen, Inc., together with its wholly owned subsidiaries ("Ocugen" or the "Company"), is a biotechnology company focused on discovering, developing, and commercializing novel gene and cell therapies, biologics and vaccines that improve health and offer hope for patients across the globe. The Company is headquartered in Malvern, Pennsylvania, and manages its business as one operating segment. Refer to Note 17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net losses since inception and has funded its operations to date through the sale of common stock, warrants to purchase common stock, the issuance of convertible notes and debt, and grant proceeds. The Company incurred net losses of approximately $67.8 million and $54.1 million for the years ended December 31, 2025 and 2024, respectively. As of December 31, 2025, the Company had an accumulated deficit of $408.1 million and cash totaling $18.6 million. This amount will not be sufficient to fund the Company's operations over the next 12 months after the date that the consolidated financial statements are issued.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Company intends to continue its research, development, and commercialization efforts for its product candidates, it will require significant additional funding. If the Company is unable to obtain additional funding in the future and/or its research, development, and commercialization efforts require higher than anticipated capital, there will be a negative impact on the financial viability of the Company. The Company will continue to explore options to fund its operations through public and private placements of equity and/or debt, payments from potential strategic research and development arrangements, sales of assets, licensing and/or collaboration arrangements with pharmaceutical companies or other institutions, funding from the government, or funding from other third parties. Such financing and funding may not be available at all, or on terms that are favorable to the Company. While management believes that it has a plan to fund operations, its plan may not be successfully implemented. If the Company cannot obtain the necessary funding, it will need to delay, scale back, or eliminate some or all of its research and development programs and commercialization efforts; consider other various strategic alternatives, including a merger or sale; or cease operations.</w:t>
      </w:r>
    </w:p>
    <w:p>
      <w:pPr>
        <w:spacing w:after="0" w:line="2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August 2025, the Company successfully completed a registered direct offering, generating $18.5 million in net proceeds from the sale of its common stock. In January 2026, the Company raised an additional $20.8 million in net proceeds through a underwritten registered direct offering of common shares. Although these capital infusions have strengthened the Company’s liquidity, management maintains that, according to the current operational strategies and forecasts, further funding will be necessary to fulfill obligations and continue operating for at least the next twelve months after the consolidated financial statements are issued.</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factors, together with the anticipated continued spending that will be necessary to continue to research, develop, and commercialize the Company’s product candidates, there is substantial doubt about the Company’s ability to continue as a going concern within one year after the date that these consolidated financial statements are issued. The consolidated financial statements do not contain any adjustments that might result from the resolution of any of the above uncertainties.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included herein have been prepared in conformity with GAAP and under the rules and regulations of the United States SEC. The consolidated financial statements include the accounts of Ocugen and its wholly owned subsidiaries. All intercompany balances and transactions have been eliminated in consolidation.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year presentation of our consolidated financial statements. These reclassifications had no effect on the reported results of operations and ending shareholders’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GAAP, management is required to make estimates and assumptions that affect the reported amounts of assets and liabilities and disclosure of contingent assets and liabilities at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date of the financial statements, as well as the reported amounts of expenses during the reporting period. Due to the inherent uncertainty involved in making estimates, actual results reported in future periods may be affected by changes in these estimates. On an ongoing basis, the Company evaluates its estimates and assumptions. These estimates and assumptions include those used in the accounting for research and development contracts, including clinical trial accruals, determination of the collaborative arrangements transaction price, calculating the progress towards the satisfaction of the performance obligations under the collaborative arrangements, and determining the value of the non-cash consideration received under collaborative arrangements.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viewed its operations and managed its business as one operating segment consistent with how the Company's chief operating decision-maker, the Company's Chief Executive Officer, makes decisions regarding resource allocation and assesses performance. As of December 31, 2025, substantially all of the Company's assets were located in the United States. Refer to Note 17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Cash equivalents may include bank demand deposits and money market funds that invest primarily in certificates of deposit, commercial paper, and United States government agency securities and treasuries. The Company recorded $0.9 million and $1.3 million as interest income for the years ended December 31, 2025 and 2024, respectively. The Company's restricted cash balance as of December 31, 2025 consisted of cash held to collateralize a corporate credit card account and a line of credit related to an operating lease in the event of a payment default.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from the consolidated balance sheets to the total amount shown in the consolidated statements of cash flows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500" w:type="dxa"/>
            <w:vAlign w:val="bottom"/>
          </w:tcPr>
          <w:p>
            <w:pPr>
              <w:spacing w:after="0"/>
              <w:rPr>
                <w:sz w:val="16"/>
                <w:szCs w:val="16"/>
                <w:color w:val="auto"/>
              </w:rPr>
            </w:pPr>
          </w:p>
        </w:tc>
      </w:tr>
      <w:tr>
        <w:trPr>
          <w:trHeight w:val="23"/>
        </w:trPr>
        <w:tc>
          <w:tcPr>
            <w:tcW w:w="56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56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60" w:type="dxa"/>
            <w:vAlign w:val="bottom"/>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58,514</w:t>
            </w:r>
          </w:p>
        </w:tc>
      </w:tr>
      <w:tr>
        <w:trPr>
          <w:trHeight w:val="23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146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58,821</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provisions of FASB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quoted prices for similar assets and liabilities in active markets or inputs that are observable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inputs that are unobservable (for example, cash flow modeling inputs based on assumptions)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certain financial instruments, including cash, accounts payable, and accrued expenses, approximates their fair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marketable securities in accordance with FASB ASC Topic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xml:space="preserve"> ("ASC 320"). The Company determines the appropriate classification of its investments in debt securities at the time of purchase. Marketable securities with maturities of 90 days or less at the time of purchase are classified as cash equivalents on the consolidated balance sheets. Debt securities are classified as trading securities if the security is bought and held primarily to</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 sold in the near term. Debt securities are classified as held-to-maturity if management has both the positive intent and ability to hold until the maturity of the security. Debt securities not classified as trading securities or held-to-maturity securities are classified as available-for-sale securities. There were no marketable securities during the years ended December 31, 2025 and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Available-for-sale securities are recorded at fair value based on inputs that are observable, either directly or indirectly, such as quoted prices for identical securities in active markets (Level 1) or quoted prices for similar securities in active markets or inputs that are observable (Level 2). Unrealized gains and losses are included in other comprehensive income (loss) in the consolidated statements of operations and comprehensive loss. Amortization of premium or accretion of discount on debt securities are included in other income (expense), net in the consolidated statements of operations and comprehensive loss.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reviews investments in debt securities for other-than-temporary impairment if the fair value of the investment is less than the amortized cost basis. The assessment for other-than-temporary impairment is performed at the individual security level. After the assessment, if the Company does not have the intent and ability to hold the security until recovery of the unrealized loss, the difference between the fair value and amortized cost basis of the security is charged to results of operations resulting in a new amortized cost basis of the security. If the Company has the intent and ability to hold the security until recovery of the unrealized loss, the security is evaluated for potential credit losses. If a credit loss is deemed to exist, the credit loss is recognized in results of operations and an allowance for credit losses is recorded against the amortized cost basis of the security. In determining whether a credit loss exists related to an impaired debt securities, the Company considers, among other factors, the extent of the unrealized loss relative to the amortized cost basis, the credit rating of the issuer and any recent changes thereto, current and expected future economic conditions, and any adverse events or other changes in circumstances that have occurred which may indicate a potential credit loss. To date, the Company has not recognized any impairments with respect to its debt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and restricted cash. The Company's cash and restricted cash are held in accounts at financial institutions that may exceed federally insured limits. The Company has not experienced any credit losses in such accounts and does not believe it is exposed to significant credit risk beyond the standard credit risk associated with commercial banking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property and equipment currently includes furniture and fixtures, machinery and equipment, leasehold improvements, and construction in progress. Property and equipment is recorded at historical cost less accumulated depreciation. Significant additions or improvements are capitalized, and expenditures for repairs and maintenance are charged to expense as incurred. Depreciation is calculated using the straight-line method and is recognized over the expected useful life of the underlying asset. Depreciation expense is included as research and development expense or general and administrative expense in the consolidated statements of operations and comprehensive loss based on the underlying nature of the associated asset. Construction in progress is not depreciated until such time that the asset is completed and placed into service.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Expected useful lives by major asset category are as follows:</w:t>
            </w:r>
          </w:p>
        </w:tc>
        <w:tc>
          <w:tcPr>
            <w:tcW w:w="5880" w:type="dxa"/>
            <w:vAlign w:val="bottom"/>
          </w:tcPr>
          <w:p>
            <w:pPr>
              <w:spacing w:after="0"/>
              <w:rPr>
                <w:sz w:val="20"/>
                <w:szCs w:val="20"/>
                <w:color w:val="auto"/>
              </w:rPr>
            </w:pPr>
          </w:p>
        </w:tc>
      </w:tr>
      <w:tr>
        <w:trPr>
          <w:trHeight w:val="243"/>
        </w:trPr>
        <w:tc>
          <w:tcPr>
            <w:tcW w:w="5360" w:type="dxa"/>
            <w:vAlign w:val="bottom"/>
          </w:tcPr>
          <w:p>
            <w:pPr>
              <w:spacing w:after="0"/>
              <w:rPr>
                <w:sz w:val="21"/>
                <w:szCs w:val="21"/>
                <w:color w:val="auto"/>
              </w:rPr>
            </w:pPr>
          </w:p>
        </w:tc>
        <w:tc>
          <w:tcPr>
            <w:tcW w:w="5880" w:type="dxa"/>
            <w:vAlign w:val="bottom"/>
          </w:tcPr>
          <w:p>
            <w:pPr>
              <w:spacing w:after="0"/>
              <w:rPr>
                <w:sz w:val="21"/>
                <w:szCs w:val="2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8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3 to 7 years</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8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5 to 7 years</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Shorter of the expected useful life or remaining lease term</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Company's lease agreements include lease and non-lease components, which the Company has elected not to account for separately for all classes of underlying assets. Lease expense for variable lease components is recognized when incurred.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currently leases real estate classified as operating leases. Operating leases are included in other assets and operating lease obligations in the Company's consolidated balance sheets. At lease commencement, the Company records a lease liability based on the present value of the lease payments over the expected lease term including any options to extend the lease that the Company is reasonably certain to exercise and records a corresponding right-of-use lease asset based on the lease liability, adjusted for any lease incentives received and any initial direct costs paid to the lessor prior to the lease commencement date. Lease expense is recognized on a straight-line basis over the lease term and recognized as research and development expense or general and administrative expense based on the underlying nature of the expense.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requires a lessee to discount its unpaid lease payments using the interest rate implicit in the lease or, if that rate cannot be readily determined, its incremental borrowing rate. The implicit interest rates were not readily determinable in the Company's current operating leases. As such, the incremental borrowing rates were used based on the information available at the commencement dates in determining the present value of lease payments.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for the Company's leases includes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comprised of fixed payments, variable payments that depend on an index or rate, and amounts probable to be payable under the exercise of an option to purchase the underlying asset if reasonably certain.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Variable payments not dependent on an index or rate and variable payments recognized if the index or rate changes that are associated with the Company's leases are recognized when the event, activity, or circumstance is probable. Variable payments include the Company's proportionate share of certain utilities and other operating expenses and are presented as operating expenses in the Company's consolidated statements of operations and comprehensive loss in the same line item as expense arising from fixed lease payments.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its assets, including property and equipment, for impairment whenever changes in circumstances or events may indicate that the carrying amounts are not recoverable. These indicators include, but are not limited to, a significant change in the extent or manner in which an asset is used or its physical condition, a significant decrease in the market price of an asset, or a significant adverse change in the business or the industry that could affect the value of an asset. An asset is tested for impairment by comparing the net carrying value of the asset to the undiscounted net cash flows to be generated from the use and eventual disposition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its stock-based compensation awards in accordance with FASB ASC Topic 718. The Company has issued stock-based compensation awards including stock options, RSUs, and PSUs, and also accounts for certain issuances of preferred stock and warrants in accordance with ASC 718. ASC 718 requires all stock-based payments, including grants of stock options, RSUs, and PSUs, to be recognized in the consolidated statements of operations and comprehensive loss based on their grant date fair values. The Company uses the Black-Scholes option-pricing model to determine the fair value of stock options granted. For RSUs, the fair value of the RSU is determined by the market price of a share of the Company's common stock on the grant date. For PSUs, the Company determines fair value by using a Monte Carlo simulation technique. The Company recognizes forfeitures as they occur.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Expense related to stock-based compensation awards granted with service-based vesting conditions is recognized on a straight-line basis based on the grant date fair value over the associated service period of the award, which is generally the vesting term. Stock-based compensation awards generally vest over a one to three year requisite service period. Stock options have a contractual term of 10 years. Expense for stock-based compensation awards with performance-based vesting conditions is only recognized when the performance-based vesting condition is deemed probable to occur. Expense for stock-based compensation awards with market-based and service-based vesting conditions is recognized ratably over the grantee's requisite service period. Compensation cost is not adjusted based on the actual achievement of the market-based performance goals. Expense related to stock-based compensation awards are recorded to research and development expense or general and administrative expense based on the underlying function of the individual that was granted the stock-based compensation award. Shares issued upon stock option exercise, PSU and RSU vesting are newly-issued common shares.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Estimating the fair value of stock options requires the input of subjective assumptions, including the expected term of the stock option, stock price volatility, the risk-free interest rate, and expected dividends. Estimating the fair value of PSUs requires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input of subjective assumptions, including stock price volatility, TSR ranking, the risk-free rate, and expected dividends. The assumptions used in the Company's Black-Scholes option-pricing model and Monte Carlo simulation technique represent management's best estimates and involve a number of variables, uncertainties, assumptions, and the application of management's judgment, as they are inherently subjective. If any assumptions change, the Company's stock-based compensation expense could be materially different in the future.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assumptions used in Ocugen's Black-Scholes option-pricing model for stock options and in Ocugen's Monte Carlo simulation technique for PSUs are as follows, unless noted otherwise: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As Ocugen does not have sufficient historical exercise data to provide a reasonable basis upon which to estimate expected term,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employee stock options subject to service-based vesting conditions is determined using the "simplified" method, whereby the expected term equals the arithmetic average of the vesting term and the original contractual term of the stock option. This expected term assumption is not an assumption used in the Company's Monte Carlo simulation technique for PSUs. The expected term of the PSUs is equal to the performance period of the PSUs.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is based on historical volatilities of Ocugen and similar entities within Ocugen's industry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commensurate with the assumed expected term, due to the lack of sufficient history of Ocugen.</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interest rate payable on United States Treasury securities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period that is commensurate with the assumed expected term.</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The expected dividend yield is 0% because Ocugen has not historically paid, and does not expect for the foreseeable future to pay,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on its common stock.</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TSR ranking. </w:t>
      </w:r>
      <w:r>
        <w:rPr>
          <w:rFonts w:ascii="Times New Roman" w:cs="Times New Roman" w:eastAsia="Times New Roman" w:hAnsi="Times New Roman"/>
          <w:sz w:val="18"/>
          <w:szCs w:val="18"/>
          <w:color w:val="auto"/>
        </w:rPr>
        <w:t>The Company's TSR, over a three-year period, is relative to the TSR, for that same period, as related to other companies within the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Biotechnology index. This assumption is only used for the market-based PSUs.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 and Revenue Recognition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analyzes its collaborative arrangements to assess whether they are within the scope of ASC 808 to determine whether such arrangements involve joint operating activities performed by parties that are both active participants in the activities and exposed to significant risks and rewards. This assessment is performed throughout the life of the arrangements based on changes to the arrangements. For collaborative arrangements within the scope of ASC 808 the Company may analogize to ASC 606 for certain elements.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identifies the goods or services promised within each collaborative arrangement and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entity's promise to transfer the good or service to the customer is separately identifiable from other promises in the contract.</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allocation of the transaction price to the performance obligations in proportion to their standalone selling prices is determined at contract inception.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counterparty and the transfer of the promised goods or services to the counterparty will be one year or less. The Company assessed its collaboration arrangements in order to determine whether a significant financing component exists and concluded that a significant financing component does not exist in any of its arrangements.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recognizes as collaboration revenue the amount of the transaction price that is allocated to the respective performance obligation as each performance obligation is satisfied over time, with progress toward completion measured based on actual costs incurred relative to total estimated costs to be incurred over the life of the arrangement. Significant management judgment is required in determining the level of effort required under an arrangement and the period over which the Company is expected to complete their performance obligations under the arrangements and in determining the estimated market value of the co-development services included in the transaction price. The Company evaluates the measure of progress each reporting period and, if necessary, adjusts the measure of performance and related revenue recognition. Adjustments to original estimates will be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Company's collaborative arrangements, the timing of revenue recognition and receipt of consideration may differ, and result in assets and liabilities. Assets represent revenues recognized in excess of the consideration received under collaborative arrangement. Liabilities represent the consideration received in excess of revenues recognized under collaborative arrangement.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in accounting for income taxes. Deferred tax assets and liabilities are recorded for temporary differences between the tax basis of assets and liabilities and their reported amounts in the consolidated financial statements, using statutory tax rates in effect for the year in which the differences are expected to reverse. The effect on deferred tax assets and liabilities of a change in tax rates is recognized in the consolidated statements of operations and comprehensive loss in the period that includes the enactment date.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its deferred tax assets each period to ensure that the estimated future taxable income will be sufficient in character, amount, and timing, to result in its realizability. A valuation allowance is recorded to reduce the carrying amounts of deferred tax assets, unless it is more likely than not that those assets will be realized. Management utilizes considerable judgment when establishing deferred tax valuation allowances. The ultimate realization of deferred tax assets is dependent upon the generation of future taxable income during the periods in which those temporary differences and carryforward deferred tax assets become deductible or utilized. The Company considers the scheduled reversal of taxable temporary differences, projected future taxable income, and tax planning strategies in making this assessment. As events and circumstances change, valuation allowances are adjusted within the consolidated statement of operations and comprehensive loss when applicable.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recognizes net tax benefits under the recognition and measurement criteria of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prescribes requirements and other guidance for financial statement recognition and measurement of positions taken or expected to be taken on tax returns. The Company recognizes a tax benefit for positions taken for tax return purposes when it will be more likely than not that the positions will be sustained upon tax examination, based solely on the technical merits of the tax positions. Otherwise, no tax benefit is recognized. The tax benefits recognized are measured based on the largest benefit that has a greater than 50% likelihood of being realized upon ultimate settlement. The Company recognizes potential accrued interest and penalties related to unrecognized tax benefits as a component of income tax expense in the consolidated statement of operations and comprehensive loss. Tax examinations are often complex, as tax authorities may disagree with the treatment of items reported by the Company and may require several years to resolve. As a result, the Company's provision for income taxes is recorded on the basis of available information, but amounts recorded may be impacted as a result of future examinations.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with the option to apply the standard retrospectively. Early adoption is permitted. The Company adopted this standard on a prospective basis and the adoption did not have a material impact on our consolidated financial position or results of operations. Refer to Note 14 for our updated income tax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The new guidance requires disaggregated information about certain income statement expense line items on an annual and interim basis.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guidance will be effective for annual periods beginning the year ended December 31, 2027 and for interim periods thereafter. The new standard permits early adoption and can be applied prospectively or retrospectively. We are evaluating the effect that this guidance will have on our consolidated financial statements and related disclosures.</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ASU 2024-04, Debt with Conversion and Other Options (Subtopic 470-20): Induced Conversions of Convertible Debt Instruments. In November 2024, the FASB issued ASU 2024-04,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We are evaluating the effect that this guidance will have on our consolidated financial statements and related disclosures.</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either a prospective or a retrospective approach. Early adoption is permitted. We are currently evaluating the provisions of this ASU and do not expect this ASU to have a material impact on our consolidated financial statements.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2025, the FASB issued ASU No. 2025-12, Codification Improvements. The ASU addresses thirty-three items, representing the changes to the Codification that (1) clarify, (2) correct errors, or (3) make minor improvements. Generally, the amendments in this Update are not intended to result in significant changes for most entities. The ASU is effective for interim reporting periods within annual reporting periods beginning after December 15, 2026. The adoption method of this ASU may vary, on an issue-by-issue basis. Early adoption is permitted. We are currently evaluating the provisions of this ASU and do not expect this ASU to have a material impact on our consolidated financial statements.</w:t>
      </w:r>
    </w:p>
    <w:p>
      <w:pPr>
        <w:spacing w:after="0" w:line="200" w:lineRule="exact"/>
        <w:rPr>
          <w:sz w:val="20"/>
          <w:szCs w:val="20"/>
          <w:color w:val="auto"/>
        </w:rPr>
      </w:pPr>
    </w:p>
    <w:p>
      <w:pPr>
        <w:spacing w:after="0" w:line="2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License and Development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Co-Development and Commercialization Agreement with CanSino Biologics,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co-development and commercialization agreement with our collaboration partner CanSino Biologics, Inc. ("CanSinoBIO") with respect to the development and commercialization of the Company's modifier gene therapy product candidates, OCU400, OCU410, and OCU410ST. The co-development and commercialization agreement was originally entered into in September 2019 ("the Original CanSinoBIO Agreement") with regards to OCU400 and was subsequently amended in September 2021 and November 2022 ("the Amendments"), to include OCU410 and OCU410ST, respectively. The Company concluded that the Original CanSinoBIO Agreement and the Amendments are separate agreements (collectively referred to as the "CanSinoBio Agreements"). Pursuant to the CanSinoBIO Agreements, the Company and CanSinoBIO are collaborating on the development of the Company's modifier gene therapy platform. CanSinoBIO is responsible for the chemistry, manufacturing, and controls development and manufacture of clinical supplies of such products and is responsible for the costs associated with such activities. CanSinoBIO has an exclusive license to develop, manufacture, and commercialize the Company's modifier gene therapy platform in and for the CanSinoBIO Territory, and the Company maintains exclusive development, manufacturing, and commercialization rights with respect to the Company's modifier gene therapy platform outside the Company Territory.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any of the product candidates be commercialized in the CanSinoBIO Territory, CanSinoBIO will pay to the Company an annual royalty between mid- and high-single digits based on Net Sales (as defined in the CanSinoBIO Agreements) of the products included in the Company's modifier gene therapy platform in the CanSinoBIO Territory. The Company will pay to CanSinoBIO an annual royalty between low- and mid-single digits based on Net Sales of the products included in the Company's modifier gene therapy platform in the Company Territory.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 and revenue recognition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the collaboration arrangements with CanSinoBIO, are within the scope of ASC 808 and has analogized to ASC 606 to account for CanSinoBIO's access to its IP as well as data generated in connection with the co-development activities to be undertaken by Ocugen. These elements of the arrangements are not distinct and are accounted for as a single performance obligation.</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non-cash consideration to be received related to the Company's satisfaction of the performance obligation includes but is not limited to services related to chemistry, manufacturing, and controls development and manufacture of clinical supplies of such products through completion of pre-clinical, clinical, regulatory, and other commercialization readiness services.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estimated market value of the co-development services to be performed by CanSinoBIO, represents variable consideration that is included in the transaction price. The Company recognizes collaborative arrangement revenue over time using an input method using ratio of costs incurred to date compared to total estimated costs required to satisfy the performance obligation under the CanSinoBIO Agreements.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constrained the transaction price related to certain future co-development services, as it assessed that it is probable that the inclusion of such variable consideration could result in a significant reversal of cumulative revenue in future periods. Royalty revenue will be recorded as sales occur based on the agreed upon royalties. No such royalty revenue has been recorded to date. The variable consideration, which is based on continued successful development of our programs, is reevaluated at each reporting period and as changes in circumstances occur.</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services provided by CanSinoBIO are recorded as research and development expense as incurred and the difference between the revenue and expense recognized is recorded on the Company's balance sheet as a contract liability within Accrued expenses and other current liabilities. The related revenue recognized was recorded in the consolidated statements of operations and comprehensive loss as collaborative arrangement revenue and was approximately $4.4 million and $4.1 million for the year ended December 31, 2025 and the year ended December 31, 2024, respectively. The related expense incurred for services provided by CanSinoBIO was recorded in the consolidated statements of operations and comprehensive loss as research and development expense and was approximately $2.0 million and $1.9 million for the year ended December 31, 2025 and the year ended December 31, 2024, respectively.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contract liability was $5.9 million and $8.4 million as of December 31, 2025 and December 31, 2024, respectively. Revenue recognized for the year ended December 31, 2025, that was included in the contract liabilities balances as of January 1, 2025 was approximately $4.4 million. Revenue recognized for the year ended December 31, 2024, that was included in the contract liabilities balances as of January 1, 2024, was approximately $4.1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Kwangdong Pharmaceutical, Ltd.</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entered into a license agreement (“Kwangdong License”) with Kwangdong Pharmaceutical, Ltd ("Kwangdong") for the development and commercialization of the Company's modifier gene therapy product candidate OCU400 in September 2025. Pursuant to the Kwangdong License, Kwangdong gains the exclusive rights to commercialize and develop OCU400 in South Korea (“Kwangdong Territory”). Kwangdong is responsible for commercialization and regulatory approval in the Kwangdong Territory. The Company retains exclusive right to manufacture for Kwangdong. The Company will also provide additional support services to Kwangdong throughout the term of the agreement to support commercialization. In accordance with the Kwangdong License, the Company received an initial $0.8 million (net of tax) non-refundable fee and is entitled to additional milestone-based fees upon FDA and regulatory approval in the Kwangdong Territory as well as manufacturing-based fees upon shipment. The Kwangdong License also includes an option (“Repurchase Option”) for the Company to purchase the license back from Kwangdong for three times the amount of fees paid to date plus expenses. That option expires upon regulatory approval in Kwangdong Territory.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 and Revenue Recognition</w:t>
      </w:r>
    </w:p>
    <w:p>
      <w:pPr>
        <w:spacing w:after="0" w:line="241"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At contract inception, the Company evaluated the goods and services promised in the Kwangdong Agreement, including the license, access to certain technology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support services, and future product manufacturing. The Company concluded that these promises are not distinct in the context of the contract, as Kwangdong cannot derive benefit from the license without the Company’s manufacturing and related support.</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Accordingly, the Company identified a single combined performance obligation, consisting of the manufacture and supply of OCU400, inclusive of the related license and support activities.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contract inception, the transaction price consisted of the $0.8 million upfront payment. All other forms of consideration, including regulatory and development milestones, sales milestone payments, and royalties, represent variable consideration.</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these payments are dependent on future regulatory approvals or sales in the territory — events that are outside the Company’s control and subject to significant uncertainty — the Company has fully constrained such amounts in accordance with ASC 606. The Company will include these amounts in the transaction price only when it becomes probable that a significant reversal of cumulative revenue will not occur.</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will recognize revenue related to the Kwangdong Agreement at a point in time, when control of the manufactured product is transferred to Kwangdong. The specific point at which control transfers will be determined based on terms in the future supply agreement (e.g., title passage, shipping terms, acceptance provisions).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revenue was recognized under the Kwangdong Agreement during the year ended December 31, 2025, as the Company did not deliver any manufactured product and therefore did not satisfy any portion of the combined performance obligation.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of December 31, 2025, the Company recorded the $0.8 million upfront payment as deferred revenue, presenting it within other non-current liabilities on the consolidated balance sheet. This amount will be recognized as revenue once the Company fulfills its overall performance obligation by delivering the manufactured products to Kwangdong.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NIAID Project NextGen Clinical trial support</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OCU500 was selected by the National Institute of Allergy and Infectious Diseases ("NIAID") Project NextGen for inclusion in clinical trials. Project NextGen is a $5 billion multi-government agency initiative to develop the next generation of vaccines and therapeutics to combat the spread of COVID-19. NIAID, with funding from Project NextGen, will cover the full cost of the clinical trials, including operations and related analysis. Ocugen will be responsible for providing clinical trial materials and upon completion will have full right of reference to the findings, which Ocugen believes will provide clinical evidence to support the further development of the Company’s lead mucosal vaccine candidate. The NIAID intends to initiate a Phase 1 clinical trial in the second quarter of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Washington University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2022, the Company entered into the WU License Agreement with Washington University, pursuant to which the Company was granted an exclusive, sublicensable, royalty-bearing license to patent rights for a mucosal COVID-19 vaccine, as well as a license to certain tangible research property and technical information necessary to exploit the patent rights within the United States, Europe, and Japan. The Company paid Washington University an initial license issuance fee of $1.0 million, which was recognized as research and development expense in the consolidated statement of operations and comprehensive loss during the year ended December 31, 2022. In January 2023, the Company amended the WU License Agreement to add the countries of South Korea, Australia, and China to the Mucosal Vaccine Territory, and in November 2023, the Company further amended the WU License Agreement to add Hong Kong to the Mucosal Vaccine Territory. In June 2025, the Company further amended the WU License Agreement to add Canada to the Mucosal Vaccine Territory. The Company is required to pay Washington University an annual license maintenance fee of $0.1 million, payments upon the achievement of certain development and commercial milestones in the aggregate amount of up to $37.0 million, and low single-digit percentage royalties on Net Sales of licensed products (as defined in the WU License Agreement).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WU License Agreement, the Company may make, have made, sell, offer for sale, use, market, promote, distribute, export, and import licensed products in the Mucosal Vaccine Territory. The Company will use commercially reasonable efforts to develop, manufacture, promote, and sell the licensed products in the Mucosal Vaccine Territory.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Washington University maintains control of patent preparation, filing, prosecution, and maintenance. The Company is responsible for Washington University's out-of-pocket expenses related to the preparation, filing, prosecution, issuance, and maintenance of the licensed patent rights incurred pursuant to the WU License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WU License Agreement will expire on a country-by-country basis and a licensed product-by-licensed product basis and end, separately in each such country and for each such licensed product, upon the latter of (a) the expiration date of the last valid claim, (b) the fifteenth (15th) anniversary of the date of the first commercial sale of a licensed product, or (c) the expiration of the last form of market exclusivity (as defined in the WU License Agreement), subject to the earlier termination of the WU License Agreement in accordance with its terms. In addition, the Company may terminate the WU License Agreement without cause by giving at least 90 days written notice. The WU License Agreement contains customary termination provisions in the event of an uncured material breach or upon certain corporate actions, including bankruptcy, receivership, or liquidation.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The Schepens Eye Research Institute, Inc.</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December 2017, the Company entered into an exclusive license agreement with The Schepens Eye Research Institute, Inc. ("SERI"), which was amended in January 2021 (as so amended, the "SERI Agreement"). The SERI Agreement gives the Company an exclusive, worldwide, sublicensable license to patent rights, biological materials, and technical information for NHR genes Nuclear Receptor Subfamily 1 Group D Member 1 ("</w:t>
      </w:r>
      <w:r>
        <w:rPr>
          <w:rFonts w:ascii="Times New Roman" w:cs="Times New Roman" w:eastAsia="Times New Roman" w:hAnsi="Times New Roman"/>
          <w:sz w:val="18"/>
          <w:szCs w:val="18"/>
          <w:i w:val="1"/>
          <w:iCs w:val="1"/>
          <w:color w:val="auto"/>
        </w:rPr>
        <w:t>NR1D1")</w:t>
      </w:r>
      <w:r>
        <w:rPr>
          <w:rFonts w:ascii="Times New Roman" w:cs="Times New Roman" w:eastAsia="Times New Roman" w:hAnsi="Times New Roman"/>
          <w:sz w:val="18"/>
          <w:szCs w:val="18"/>
          <w:color w:val="auto"/>
        </w:rPr>
        <w:t xml:space="preserve">, NR2E3 (OCU400),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(OCU410 and OCU410ST), Nuclear Protein 1, Transcriptional Regulator (</w:t>
      </w:r>
      <w:r>
        <w:rPr>
          <w:rFonts w:ascii="Times New Roman" w:cs="Times New Roman" w:eastAsia="Times New Roman" w:hAnsi="Times New Roman"/>
          <w:sz w:val="18"/>
          <w:szCs w:val="18"/>
          <w:i w:val="1"/>
          <w:iCs w:val="1"/>
          <w:color w:val="auto"/>
        </w:rPr>
        <w:t>"NUPR1"</w:t>
      </w:r>
      <w:r>
        <w:rPr>
          <w:rFonts w:ascii="Times New Roman" w:cs="Times New Roman" w:eastAsia="Times New Roman" w:hAnsi="Times New Roman"/>
          <w:sz w:val="18"/>
          <w:szCs w:val="18"/>
          <w:color w:val="auto"/>
        </w:rPr>
        <w:t>), and Nuclear Receptor Subfamily 2 Group C Member 1 (</w:t>
      </w:r>
      <w:r>
        <w:rPr>
          <w:rFonts w:ascii="Times New Roman" w:cs="Times New Roman" w:eastAsia="Times New Roman" w:hAnsi="Times New Roman"/>
          <w:sz w:val="18"/>
          <w:szCs w:val="18"/>
          <w:i w:val="1"/>
          <w:iCs w:val="1"/>
          <w:color w:val="auto"/>
        </w:rPr>
        <w:t>"NR2C1"</w:t>
      </w:r>
      <w:r>
        <w:rPr>
          <w:rFonts w:ascii="Times New Roman" w:cs="Times New Roman" w:eastAsia="Times New Roman" w:hAnsi="Times New Roman"/>
          <w:sz w:val="18"/>
          <w:szCs w:val="18"/>
          <w:color w:val="auto"/>
        </w:rPr>
        <w:t>). The January 2021 amendment to the SERI Agreement additionally granted the Company rights in co-owned intellectual property pursuant to certain patents and provisional patents at the time of the amendment. Under the SERI Agreement, the Company may make, have made, use, offer to sell, sell, and import licensed products, and must use commercially reasonable efforts to bring one or more licensed products to market as soon as reasonably practicable.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SERI maintains control of patent preparation, filing, prosecution, and maintenance. The Company is responsible for SERI's out-of-pocket expenses related to the filing, prosecution, and maintenance of the licensed patent rights. In the event that SERI</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decides to discontinue the prosecution or maintenance of the licensed patent rights, the Company has the right, but not the obligation, to file for, or continue to prosecute, maintain, or enforce such licensed patent rights. The Company has assumed prosecution of certain licensed patent rights under the SERI Agreement. The Company has paid annual maintenance of $25 thousand and $75 thousand in December 31, 2025 and 2024, and $750 thousand in milestone payments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the University of Colorado</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March 2014, the Company entered into an exclusive license agreement with the University of Colorado ("CU"), which was amended in January 2017 and clarified by a letter of understanding in November 2017 (as so amended and clarified, the "CU Agreement"). The CU Agreement gives the Company an exclusive, worldwide, sublicensable license to patents for OCU200 to make, have made, use, import, offer to sell, sell, have sold, and practice the licensed products in all therapeutic applications. Under the CU Agreement, the Company must use commercially reasonable efforts to develop, manufacture, sublicense, market, and sell the licensed products, and has assumed primary responsibility for preparing, filing, and prosecuting broad patent claims for OCU200 for CU's benefit. Further, the Company assumed primary responsibility for all patent activities, including all costs associated with the perfection and maintenance of the patents for OCU200. The Company has paid $20 thousand related to annual maintenance for the year ended December 31, 2025 and 2024, respectively.</w:t>
      </w:r>
    </w:p>
    <w:p>
      <w:pPr>
        <w:spacing w:after="0" w:line="19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borrowings under the EB-5 Loan Agreement and the Avenue Capital Loan and Security Agreement (as defined in Note 10) using Level 2 inputs. The valuation technique applied is a discounted cash flow analysis. The discount rate utilized is derived from the Company’s Incremental Borrowing Rate Analysis, which incorporates observable market interest rates and credit spreads for instruments with similar terms and maturities. Management believes the estimated fair value does not differ materially from the carrying value of these borrowings. See Note 10 for additional information.</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summary of the major components of property and equipment as reflected on the consolidated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19,714</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16,554</w:t>
            </w: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$2.4 million and $1.9 million during the years ended December 31, 2025 and 2024, respectively.</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Prepaid Expenses and Other Current Assets</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provides a summary of the major components of prepaid expenses and other current assets as reflected on the consolidated balance sheets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R&amp;D</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Subscriptions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Other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major components of other assets as reflected on the consolidated balance sheets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Deposits</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w:t>
            </w:r>
          </w:p>
        </w:tc>
      </w:tr>
      <w:tr>
        <w:trPr>
          <w:trHeight w:val="21"/>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Operating 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commitments under operating leases for office, laboratory, and manufacturing space in Malvern, Pennsylvania and other locations. The Company's corporate headquarters, located in Malvern, Pennsylvania, lease has an initial term of approximately seven years and includes options to extend the lease for up to 10 years, which the Company has not elected to account for since it is not reasonably certain that the Company will exercise such option. The Company's current GMP facility, located in Malvern, Pennsylvania, lease has an initial term of seven years and includes an option to extend the lease for up to five years, which the Company has elected to account for since it is reasonably certain that the Company will exercise such option. The Company leases two other general use facilities, within the United States, which have initial terms of two to three years and contain no option to extend.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0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8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obligations</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3060" w:type="dxa"/>
            <w:vAlign w:val="bottom"/>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23"/>
        </w:trPr>
        <w:tc>
          <w:tcPr>
            <w:tcW w:w="7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76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124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r>
      <w:tr>
        <w:trPr>
          <w:trHeight w:val="182"/>
        </w:trPr>
        <w:tc>
          <w:tcPr>
            <w:tcW w:w="76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included in operating</w:t>
            </w: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4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w:t>
            </w:r>
          </w:p>
        </w:tc>
        <w:tc>
          <w:tcPr>
            <w:tcW w:w="114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1,168</w:t>
            </w:r>
          </w:p>
        </w:tc>
        <w:tc>
          <w:tcPr>
            <w:tcW w:w="1240" w:type="dxa"/>
            <w:vAlign w:val="bottom"/>
            <w:gridSpan w:val="2"/>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terms (years)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527"/>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base rent payments are approximately as follows (in thousands):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22"/>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24"/>
                <w:szCs w:val="24"/>
                <w:color w:val="auto"/>
              </w:rPr>
            </w:pPr>
          </w:p>
        </w:tc>
      </w:tr>
      <w:tr>
        <w:trPr>
          <w:trHeight w:val="23"/>
        </w:trPr>
        <w:tc>
          <w:tcPr>
            <w:tcW w:w="7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1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(1,300)</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Accrued Expenses and Other Current Liabilities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major components of accrued expenses and other current liabilities as reflected on the consolidated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Clinical</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29"/>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Employee-related</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relating to collaborative arrangements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r>
      <w:tr>
        <w:trPr>
          <w:trHeight w:val="230"/>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2016, in connection with the United States government's foreign national investor program, commonly known as the EB-5 Program, the Company entered into the EB-5 Loan Agreement which provided for cumulative borrowings of up to $10.0 million from EB-5 Life Sciences as the lender. Pursuant to the EB-5 Loan Agreement, borrowings were made in $0.5 million increments with a fixed interest rate of 4.0% per annum (the "Original Offering"). The borrowings pursuant to the Original Offering are secured by substantially all of the Company's assets, with the exception of any patents, patent applications, pending patents, patent licenses, patent sublicenses, trademarks, and other intellectual property rights held by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and conditions of the Original Offering, the Company borrowed $1.0 million during 2016, $0.5 million during 2020, $0.5 million in September 2022, and an additional $0.5 million in May 2023. Issuance costs were recognized as a reduction to the loan balance and are amortized to interest expense over the term of each borrowing. Pursuant to the Original Offering, each outstanding borrowing, including accrued interest, becomes due upon the seventh anniversary of its disbursement date, subject to certain extension provisions. In January 2024, the Company entered into an agreement to extend the current portion of borrowings owed under the EB-5 Loan Agreement to March 2025. Once repaid, amounts cannot be re-drawn.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March 2022 EB-5 Reform and Integrity Act of 2022 (the "RIA") enacted changes to the EB-5 Program, including but not limited to: raising the minimum investment amount for a targeted employment area (the "TEA") from its previous level of $0.5 million to its new level of $0.8 million, as well as modifying the process for the creation of TEAs. Under the previous regime, the state in which the TEA would be located could send a letter in support of efforts to designate a TEA. Under the current regime, only United States Citizenship and Immigration Services can designate TEAs.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aforementioned changes to the EB-5 Program, the Original Offering was amended in May 2023 (the "Amended Offering"). Pursuant to the terms and conditions of the Amended Offering, EB-5 Life Sciences now provides for cumulative borrowings of up to $20.0 million. Future borrowings can be made in increments of $0.8 million with a fixed interest rate of 4.0% per annum. Each future borrowing pursuant to the Amended Offering, including accrued interest, will become due upon the seventh anniversary of its disbursement date. The Company has not made any borrowings pursuant to the Amended Offering as of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 borrowings pursuant to the Original Offering as of December 31, 2025 and 2024 are summarized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outstanding</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accrued interest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 term debt</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debt, net of current portion</w:t>
            </w: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1"/>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Company entered into a debt financing transaction with Avenue Capital for net proceeds of $29.2 million. The loan has a maturity date of November 1, 2028, of which the first 24 months are interest only, and bears interest at a variable rate per annum equal to the greater of the Prime Rate plus 4.25% or 12.25%. Additionally, the Lender has the right to convert an aggregate amount of up to $6.0 million of the outstanding principal amount into shares of Common Stock at a conversion price per share equal to 80% of the trading price on the date of conversion, which shall be at Lenders' option. In the event the Company elects to prepay the Term Loans in full, Lenders shall have 10 days to elect to exercise its conversion right prior to such prepayment. All conversion rights shall terminate on Term Loans payoff. Notwithstanding the foregoing, the aggregate amount of Common Stock issued pursuant to the “Conversion Right” and the “Equity Grant” shall not exceed a number of shares equal to 19.9% of the Company’s outstanding Common Stock. The agreement is collateralized by all of the Company’s assets in which the Agent is granted senior secured lien. The Company also granted the Lenders a negative pledge on the Company’s intellectual property. In connection with the debt financing transaction, the Company entered into a Subscription Agreement with Avenue Capital, pursuant to which the Company issued 1,056,338 shares of Common Stock to Avenue Capital with an issue date of November 6, 2024.</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the borrowings pursuant to the Loan and Security Agreement as of December 31, 2025 and 2024 are summarized below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68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outstanding</w:t>
            </w: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(2,899)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net</w:t>
            </w: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27,101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25,755</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 term debt</w:t>
            </w:r>
          </w:p>
        </w:tc>
        <w:tc>
          <w:tcPr>
            <w:tcW w:w="8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debt, net of current portion</w:t>
            </w:r>
          </w:p>
        </w:tc>
        <w:tc>
          <w:tcPr>
            <w:tcW w:w="86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25,851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scheduled debt maturities for the next five years and thereafter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36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 Maturities</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3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31,500</w:t>
            </w:r>
          </w:p>
        </w:tc>
      </w:tr>
      <w:tr>
        <w:trPr>
          <w:trHeight w:val="20"/>
        </w:trPr>
        <w:tc>
          <w:tcPr>
            <w:tcW w:w="9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00" w:hanging="392"/>
        <w:spacing w:after="0"/>
        <w:tabs>
          <w:tab w:leader="none" w:pos="4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Offerings of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Public Offering</w:t>
      </w:r>
    </w:p>
    <w:p>
      <w:pPr>
        <w:spacing w:after="0" w:line="2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July 2024, the Company entered into an underwriting agreement with an underwriter, pursuant to which the Company agreed to issue and sell to the underwriter in a public offering (the "July 2024 Public Offering") 30.4 million shares of its common stock, par value $0.01 per share, at a public offering price of $1.15 per share (the "Offering Price"). Pursuant to the terms of the underwriting agreement, the Company granted to the underwriter a 30-day option to purchase up to an additional 4,565,217 shares of common stock at the Offering Price (the "Option Shares"), less underwriting discounts and commissions. The offering closed in August 2024. The net proceeds to the Company from the offering, excluding any exercise by the underwriter of its 30-day option to purchase any of the option shares, were $32.3 million after deducting the underwriting discounts and commissions and offering expenses paid to the Company. The July 2024 Public Offering was made pursuant to the Company's Registration Statement on Form S-3 and a prospectus supplement, which was previously filed with the SEC and became effective on May 1, 2024. In August 2024, the underwriter exercised their option to purchase 2,282,608 Option Shares at the Offering Price. The net proceeds to the Company from the exercise of the underwriter's option were $2.4 million after deducting the underwriting discounts and commissions and offering expenses paid to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Registered Direct Offering</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August 2025, the Company closed a registered direct offering (the "August 2025 Direct Offering") pursuant to a securities purchase agreement with an institutional investor, for the purchase and sale of 20.0 million shares of common stock and warrants to purchase up to an aggregate of 20.0 million shares of common stock at a purchase price of $1.00 per share and accompanying warrant. The warrants have an exercise price of $1.50 per share, are exercisable immediately upon issuance, and will expire two years following the date of issuance. The warrants are callable by the Company when the volume weighted average price of the Company’s common stock exceeds $2.50 per share for at least five days of a trailing 30 trading day period. The net proceeds to the Company from the offering were $18.5 million after deducting the placement agent fees and other offering expenses. As the warrants are exercisable for a fixed number of the Company’s shares, are indexed to the Company’s stock, and do not require cash or net settlement, the Company determined that the warrants qualify for equity classification.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Capital Stock</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2024, the Company's certificate of incorporation was amended to increase the total number of shares of all classes of stock the Company has authority to issue to four hundred million shares. This consists of three hundred ninety million shares of Common Stock, par value $0.01 per share (the "Common Stock"), and ten million shares of Preferred Stock, par value $0.01 per share ("the Preferred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COVAXIN Preferred Stock Purchase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2021, the Company entered into a stock purchase agreement (the "Stock Purchase Agreement") with Bharat Biotech International Limited ("Bharat Biotech"), pursuant to which the Company agreed to issue and sell 0.1 million shares of the Company's Series B Convertible Preferred Stock, par value $0.01 per share (the "Series B Convertible Preferred Stock"), at a price per share equal to $109.60, to Bharat Biotech. On March 18, 2021, the Company issued the Series B Convertible Preferred Stock as an advance payment of $6.0 million for the supply of COVAXIN, a monovalent vaccine, to be provided by Bharat Biotech pursuant to a Development and Commercial Supply Agreement (the "Supply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share of Series B Convertible Preferred Stock was convertible, at the option of Bharat Biotech, into 10 shares of the Company's common stock (the "Conversion Ratio") only after (i) the Company received stockholder approval to increase the number of authorized shares of common stock under its Sixth Amended and Restated Certificate of Incorporation, which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Company received in April 2021, and (ii) the Company's receipt of shipments by Bharat Biotech of the first 10.0 million doses of COVAXIN manufactured by Bharat Biotech pursuant to the Supply Agreement, and further on the terms and subject to the conditions set forth in the Certificate of Designation of Preferences, Rights and Limitations of Series B Convertible Preferred Stock. The conversion rate of the Series B Convertible Preferred Stock was subject to adjustment in the event of a stock dividend, stock split, reclassification, or similar event with respect to the Company's common stock. In May 2024, Bharat Biotech and the Company entered into a Stock Forfeiture Agreement whereby the outstanding shares of Series B Convertible Preferred Stock were redeemed.</w:t>
      </w:r>
    </w:p>
    <w:p>
      <w:pPr>
        <w:spacing w:after="0" w:line="1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Beginning in 2016, the Company issued warrants to purchase common stock. In August 2025, the Company issued additional warrants to purchase up to 20 million shares of common stock as disclosed in Note 11 above. As of December 31, 2025 and December 31, 2024, 20.6 million and 0.6 million warrants were outstanding, respectively. The outstanding warrants had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exercise price of $1.64 per share at December 31, 2025 and $6.23 per share at December 31, 2024, and are scheduled to expire between 2026 and 2027.</w:t>
      </w:r>
    </w:p>
    <w:p>
      <w:pPr>
        <w:spacing w:after="0" w:line="1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options, RSUs, and PSUs is reflected in the consolidated statements of operations and comprehensive loss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$10.9 million of unrecognized stock-based compensation expense related to stock options, RSUs and PSUs outstanding, which is expected to be recognized over a weighted average period of 2.0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two equity compensation plans, the 2014 Ocugen OpCo, Inc. Stock Option Plan (the "2014 Plan") and the Ocugen, Inc. 2019 Equity Incentive Plan (the "2019 Plan", collectively with the 2014 Plan, the "Plans"). On the first business day of each fiscal year, pursuant to the "Evergreen" provision of the 2019 Plan, the aggregate number of shares that may be issued under the 2019 Plan will automatically increase by a number equal to the lesser of 4% of the total number of shares of the Company's common stock outstanding on December 31st of the prior year, or a number of shares determined by the Board. As of December 31, 2025, the 2014 Plan and the 2019 Plan authorize for the granting of up to 0.8 million and 50.3 million equity awards in respect to the Company's common stock, respectively. The 2014 Plan and 2019 Plan have 0.6 million and 16.0 million equity awards remaining available for future grant, respectively, as of December 31, 2025. In addition to stock options, PSUs and RSUs granted under the Plans, the Company has granted certain stock options and RSUs as material inducements to employment in accordance with Nasdaq Listing Rule 5635 (c)(4), which were granted outside of the Plans.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to Purchase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utilized in the fair value calculations for stock options as of December 31, 2025 and 2024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expected option term (years)</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7"/>
              </w:rPr>
              <w:t>5.9</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expected stock price volatility</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107% – 113%</w:t>
            </w:r>
          </w:p>
        </w:tc>
        <w:tc>
          <w:tcPr>
            <w:tcW w:w="200" w:type="dxa"/>
            <w:vAlign w:val="bottom"/>
          </w:tcPr>
          <w:p>
            <w:pPr>
              <w:spacing w:after="0"/>
              <w:rPr>
                <w:sz w:val="19"/>
                <w:szCs w:val="19"/>
                <w:color w:val="auto"/>
              </w:rPr>
            </w:pPr>
          </w:p>
        </w:tc>
        <w:tc>
          <w:tcPr>
            <w:tcW w:w="14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104% – 112%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expected stock price volatility</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108%</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risk-free interest rate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3.6% – 4.4%</w:t>
            </w:r>
          </w:p>
        </w:tc>
        <w:tc>
          <w:tcPr>
            <w:tcW w:w="200" w:type="dxa"/>
            <w:vAlign w:val="bottom"/>
          </w:tcPr>
          <w:p>
            <w:pPr>
              <w:spacing w:after="0"/>
              <w:rPr>
                <w:sz w:val="19"/>
                <w:szCs w:val="19"/>
                <w:color w:val="auto"/>
              </w:rPr>
            </w:pPr>
          </w:p>
        </w:tc>
        <w:tc>
          <w:tcPr>
            <w:tcW w:w="14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3.4% – 4.6%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52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24"/>
                <w:szCs w:val="24"/>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7"/>
                <w:szCs w:val="17"/>
                <w:color w:val="auto"/>
              </w:rPr>
            </w:pP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16,197,148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10,311,273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8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24,561,750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2025</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11,378,906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values of stock options granted during the years ended December 31, 2025 and 2024 were $0.81 and $0.80, respectively. During the years ended December 31, 2025 and 2024, the Company received $0.1 million and $0.2 million of cash proceeds from the exercises of stock options,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20" w:type="dxa"/>
            <w:vAlign w:val="bottom"/>
          </w:tcPr>
          <w:p>
            <w:pPr>
              <w:spacing w:after="0"/>
              <w:rPr>
                <w:sz w:val="16"/>
                <w:szCs w:val="16"/>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unvested at December 31,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unvested at December 31,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pursuant to the 2019 Plan, the Compensation Committee of the Board adopted a performance restricted stock unit agreement (the "PSU Agreement"). Pursuant to the PSU Agreement, the Company granted 615,467, 256,885 and 3,314,445 of market-based performance stock units at target on January 2, 2024, April 16, 2024, and January 2, 2025, respectively. The PSUs granted in 2024 cliff vest after the requisite service period ending on December 31, 2026. The PSUs granted in 2025, cliff vest after the requisite period ending on December 31, 2027. The PSUs have the potential to be earned at between 0% and 200% of the number of awards granted depending on the level of growth of the Company's TSR as compared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the TSR of the companies within the Nasdaq Biotechnology Index over the performance period. The fair value of the market-based PSUs was determined using a Monte Carlo simulation technique.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unvested PSU activity: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2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80" w:type="dxa"/>
            <w:vAlign w:val="bottom"/>
          </w:tcPr>
          <w:p>
            <w:pPr>
              <w:spacing w:after="0"/>
              <w:rPr>
                <w:sz w:val="16"/>
                <w:szCs w:val="16"/>
                <w:color w:val="auto"/>
              </w:rPr>
            </w:pPr>
          </w:p>
        </w:tc>
        <w:tc>
          <w:tcPr>
            <w:tcW w:w="3780" w:type="dxa"/>
            <w:vAlign w:val="bottom"/>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Weighted Average Grant-Date Fair Value</w:t>
            </w:r>
          </w:p>
        </w:tc>
      </w:tr>
      <w:tr>
        <w:trPr>
          <w:trHeight w:val="23"/>
        </w:trPr>
        <w:tc>
          <w:tcPr>
            <w:tcW w:w="37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unvested at December 31, 2024</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872,352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3,314,445</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unvested at December 31, 2025</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4,186,797</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bl>
    <w:p>
      <w:pPr>
        <w:spacing w:after="0" w:line="28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losses before income taxes and provision (benefit) for income taxes is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2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30"/>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Domestic</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(66,031)</w:t>
            </w:r>
          </w:p>
        </w:tc>
        <w:tc>
          <w:tcPr>
            <w:tcW w:w="10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(53,638)</w:t>
            </w:r>
          </w:p>
        </w:tc>
      </w:tr>
      <w:tr>
        <w:trPr>
          <w:trHeight w:val="229"/>
        </w:trPr>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(67,846)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income tax rate after the adoption of ASU 2023-09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52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54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r>
      <w:tr>
        <w:trPr>
          <w:trHeight w:val="190"/>
        </w:trPr>
        <w:tc>
          <w:tcPr>
            <w:tcW w:w="5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gridSpan w:val="3"/>
          </w:tcPr>
          <w:p>
            <w:pPr>
              <w:jc w:val="right"/>
              <w:ind w:right="1533"/>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09"/>
        </w:trPr>
        <w:tc>
          <w:tcPr>
            <w:tcW w:w="54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70"/>
        </w:trPr>
        <w:tc>
          <w:tcPr>
            <w:tcW w:w="54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(14,248)</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 Net of Federal (National) Income Tax Effect</w:t>
            </w:r>
          </w:p>
        </w:tc>
        <w:tc>
          <w:tcPr>
            <w:tcW w:w="2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2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&amp; Development Tax Credits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Orphan Drug Credits</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5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850"/>
        </w:trPr>
        <w:tc>
          <w:tcPr>
            <w:tcW w:w="5400" w:type="dxa"/>
            <w:vAlign w:val="bottom"/>
          </w:tcPr>
          <w:p>
            <w:pPr>
              <w:spacing w:after="0"/>
              <w:rPr>
                <w:sz w:val="24"/>
                <w:szCs w:val="24"/>
                <w:color w:val="auto"/>
              </w:rPr>
            </w:pPr>
          </w:p>
        </w:tc>
        <w:tc>
          <w:tcPr>
            <w:tcW w:w="3940" w:type="dxa"/>
            <w:vAlign w:val="bottom"/>
            <w:gridSpan w:val="2"/>
          </w:tcPr>
          <w:p>
            <w:pPr>
              <w:jc w:val="right"/>
              <w:ind w:right="3455"/>
              <w:spacing w:after="0"/>
              <w:rPr>
                <w:sz w:val="20"/>
                <w:szCs w:val="20"/>
                <w:color w:val="auto"/>
              </w:rPr>
            </w:pPr>
            <w:r>
              <w:rPr>
                <w:rFonts w:ascii="Times New Roman" w:cs="Times New Roman" w:eastAsia="Times New Roman" w:hAnsi="Times New Roman"/>
                <w:sz w:val="18"/>
                <w:szCs w:val="18"/>
                <w:color w:val="auto"/>
              </w:rPr>
              <w:t>F-25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income tax rate prior to the adoption of ASU 2023-09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6"/>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provision at statutory rate</w:t>
            </w: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7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7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state tax rate</w:t>
            </w: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 Capital Loss</w:t>
            </w: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7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8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Company's deferred tax assets (liabilities) are comprised of the following (in thousands):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89,858</w:t>
            </w:r>
          </w:p>
        </w:tc>
        <w:tc>
          <w:tcPr>
            <w:tcW w:w="20" w:type="dxa"/>
            <w:vAlign w:val="bottom"/>
          </w:tcPr>
          <w:p>
            <w:pPr>
              <w:spacing w:after="0"/>
              <w:rPr>
                <w:sz w:val="19"/>
                <w:szCs w:val="19"/>
                <w:color w:val="auto"/>
              </w:rPr>
            </w:pPr>
          </w:p>
        </w:tc>
        <w:tc>
          <w:tcPr>
            <w:tcW w:w="6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Start-up costs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Accruals and reserves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Intellectual property</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Capitalization of research and development expense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136,818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120,517</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(136,045)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(119,616)</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Lease right-of-use assets</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valuation allowance increased during 2025 by approximately $16.4 million primarily due to current year net operating losses and Section 174 expenditure capitalization. The Company has evaluated both positive and negative evidence when assessing the realizability of its deferred tax assets. Management has considered the Company's history of cumulative net losses, estimated future taxable income as well as tax planning strategies and has concluded that it is more likely than not that the Company will not realize the benefits of its deferred tax assets. Accordingly, a full valuation allowance has been established against these net deferred tax assets as of December 31, 2025 and 2024, respectively.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had United States federal net operating loss ("NOL") carryforwards of $350.3 million and $263.9 million, respectively, which may be available to offset future income tax liabilities. The 2017 Tax Cut and Jobs Act generally allows federal losses generated after 2017 to be carried forward indefinitely, but also limits the NOL deduction to the lesser of the NOL carryover or 80% of a corporation's taxable income (subject to Section 382 of the Internal Revenue Code of 1986, as amended ("IRC")). Additionally, there is no carryback for losses generated after 2017. Losses generated prior to 2018 are deductible using the lesser of a corporation's NOL carryover or 100% of a corporation's taxable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and have a 20 year carryforward period. The Company has federal NOLs generated after 2017 of $297.6 million, which do not expire. The federal NOLs generated prior to 2018 of $52.7 million will expire at various dates through 2037.</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had United States state NOL carryforwards of $348.6 million and $262.2 million, respectively, which may be available to offset future income tax liabilities and expire at various dates through 2045. As of December 31, 2025 and 2024, the Company had federal tax credit carryforwards of approximately $13.7 million and $11.5 million, respectively, which are available to offset future federal tax liabilities which expire at various dates through 2045. As of December 31, 2025 and 2024, the Company had state tax credit carryforwards of approximately $0.2 million and $0.2 million, respectively, which are available to reduce future tax liabilities and expire at various dates through 2034.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NOL and tax credit carryforwards are subject to review and possible adjustment by the Internal Revenue Service and relevant state tax authorities. Utilization of NOL and tax credit carryforwards may be subject to a substantial annual limitation under Section 382 and Section 383 of the IRC and corresponding provisions of state law, due to ownership changes that have occurred previously or that could occur in the future. These ownership changes may limit the amount of NOL and tax credit carryforwards that can be utilized annually to offset future federal and state tax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yet conducted a comprehensive study to assess whether any ownership change has occurred since its inception. A limitation may result in the expiration of a portion of the NOL or tax credit carryforwards before utilization, which would be offset by a change in the Company's valuation allowance. Until a study is completed by the Company, no NOL carryforward amounts will be offset by an unrecognized tax benefit related to Section 382.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full valuation allowance has also been recorded against the deferred tax assets related to the Company's NOL's and tax credits carryforwards and if an adjustment is required, this adjustment would be offset by an adjustment to the valuation allowance.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6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beginning of year</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a prior year</w:t>
            </w:r>
          </w:p>
        </w:tc>
        <w:tc>
          <w:tcPr>
            <w:tcW w:w="1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the current year</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taken in the prior year due to settlement</w:t>
            </w:r>
          </w:p>
        </w:tc>
        <w:tc>
          <w:tcPr>
            <w:tcW w:w="1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taken in the prior year due to statutes lapsing</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end of year</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uncertain tax positions giving rise to the unrecognized tax benefits of $0.3 million at December 31, 2025 and 2024 relate to the timing of certain income and deductions for federal income tax purposes taken by Histogenics prior to the Company's reverse merger with Histogenics. The reversal of unrecognized tax benefits would not have any impact on the effective tax rate in the future and is not expected to create cash liability.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a normal course of business, the Company is subject to examination by federal and state jurisdictions, where applicable. The Company's tax years are still open from 2020 to present.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introducing amendments to U.S. tax laws with various effective dates beginning in 2025 and extending through 2027. The Company considered the legislation's potential effects and concluded that the changes did not have a material effect on its financial statements, as the Company is currently in a loss position and maintain a full valuation allowance against its deferred tax assets.</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Net Loss per Share of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years ended December 31, 2025 and 2024 (in thousands, except share and per share amounts): For purposes of earnings per share, the Series B Convertible Preferred shares have the same characteristics as common stock and have no liquidation or other material preferential rights over common stock and accordingly, have been considered as a second class of common stock in the computation of net loss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 share regardless of their legal form. Losses are allocated between the common shares and the Series B Convertible Preferred Stock on a pro rata basis as they share equally in losses and residual net assets on an as-converted basis.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(54,010)</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shares used in calculating net loss per common share — basic and diluted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300,167,989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270,995,121</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Series B Convertible Preferred shareholders — basic and diluted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shares used in calculating net loss per Series B Convertible Preferred Stock — basic and diluted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54,745</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Series B Convertible Preferred shareholders —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as their inclusion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380" w:type="dxa"/>
            <w:vAlign w:val="bottom"/>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24,561,750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16,197,148</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851,652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1,902,457</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4,186,797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872,352</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20,628,664</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628,725</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50,228,863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19,600,682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commitments under certain license and development agreements, lease agreements, commitments related to renovating an existing facility for GMP, and debt agreements. Commitments under certain license and development agreements include annual payments, payments upon the achievement of certain milestones, and royalty payments based on net sales of licensed products (see Note 3). Commitments under lease agreements are future minimum lease payments (see Note 8). Commitments under debt agreements are the future payment of principal and accrued interest under the EB-5 Loan Agreement and the Loan and Security Agreement (see Note 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2024, a securities class action lawsuit was filed against the Company and certain of its agents in the United States District Court for the Eastern District of Pennsylvania ("Court") (Case No. 2:24-cv-01500) that purported to state a claim for alleged violations of Sections 10(b) and 20(a) of the Exchange Act and Rule 10b-5 promulgated thereunder, based on statements made by the Company concerning the Company's previously-issued audited consolidated financial statements for each fiscal year beginning January 1, 2020 and its previously-issued unaudited condensed consolidated financial statements for each of the first three quarters in such years and the effectiveness of the Company's disclosure controls and procedures during each such period. The complaint sought unspecified damages, interest, attorneys' fees, and other costs. In October 2024, the lead plaintiff filed an amended complaint, and in December 2024, the Company filed a motion to dismiss. In February 2025, the lead plaintiff filed an opposition to the motion to dismiss, and the</w:t>
      </w:r>
    </w:p>
    <w:p>
      <w:pPr>
        <w:spacing w:after="0" w:line="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Company filed a reply in support of the motion to dismiss in March 2025. In July 2025, the Company’s motion to dismiss, with prejudice, was granted. The lead plaintiff appealed to the United States Court of Appeals for the Third Circuit regarding the order that was entered in July 2025, which dismissed the action with prejudice. The lead plaintiff’s appellant's brief and joint appendix were filed in October 2025, the Company’s appellees’ brief was filed in December 2025, and the lead plaintiff’s reply brief was filed in January 2026.</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May 2024, a stockholder derivative lawsuit was filed on behalf of the Company against certain of its agents and the nominal defendant Ocugen in the Court (Case No. 2:24-cv-02234) that purported to state a claim for breach of fiduciary duties, unjust enrichment, abuse of control, gross mismanagement, waste of corporate assets, violations of Section 14(a) of the Exchange Act, and contribution for violations of Sections 10(b) and 21(d) of the Exchange Act, based on the facts and circumstances relating to the securities class action and seeking damages and certain governance reforms in connection with claims asserted in the securities class action. In June 2024, the Court approved the parties’ joint stipulation for an order staying the derivative lawsuit pending resolution of a motion to dismiss in the related securities class action. In the third quarter of 2024, four additional stockholder derivative lawsuits were filed on behalf of the Company against certain of its agents and the nominal defendant Ocugen in the Court (Case Nos. 2:24-cv-03119, 2:24-cv-03209, 2:24-cv-04813, 2:24-cv-04864) asserting similar facts and claims as the first complaint, and in March 2025, the Court consolidated these five derivative lawsuits and stayed the lawsuits pending resolution of the motion to dismiss in the related securities class action. Under consolidated Case No. 2:24-cv-02234, an amended shareholder derivative complaint was filed by a plaintiff in May 2025, and an amended shareholder derivative complaint was filed by two other plaintiffs in June 2025. In August 2025, the Court approved the parties’ joint stipulation to continue the stay during the pendency of the appeal filed in the related securities class action.</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January 2025, a stockholder derivative lawsuit was filed on behalf of the Company against certain of its agents and the nominal defendant Ocugen in the Delaware Court of Chancery ("Delaware Court) (Case No. 2025-0095-JTL) asserting similar facts and claims related to breaches of fiduciary duty, unjust enrichment and insider trading, and in March 2025, the Delaware Court approved the parties’ joint stipulation for an order staying the lawsuit pending resolution of a motion to dismiss in the related securities class action. In September 2025, the Delaware Court approved the parties’ joint stipulation to continue the stay during the pendency of the appeal filed in the related securities class action.</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October 2025, a securities class action lawsuit was filed against the Company in the Delaware Court (Case No. 2025-1214) that purported to state claims for breach of contract, declaratory judgment under 8 Del. C. § 225(b) and declaratory judgment under 10 Del. C. § 6501 based on allegations that the Company breached provisions of the Company’s charter and attempted to evade the voting threshold in the Company’s charter. The complaint seeks unspecified damages, interest, attorneys’ fees and other costs among injunctive relief and other governance related actions and declarations. On February 12, 2026, the Company filed a petition (the “Petition”) in the Delaware Court pursuant to Section 205 of the Delaware General Corporation Law seeking validation of the Certificate of Amendment to the Company’s charter increasing the Company’s number of authorized shares of common stock, and all shares of the Company’s common stock issued in reliance on the effectiveness and validity thereof. Concurrently with the filing of the Petition, the Company filed a motion to expedite the hearing on the Petition, which was subsequently granted and the hearing has been set for May 6, 2026.</w:t>
      </w: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believes that these lawsuits are without merit and intends to vigorously defend against them. At this time, no assessment can be made as to their likely outcome or whether the outcome will be material to the Company. No information is available to indicate that it is probable that a loss has been incurred and can be reasonably estimated as of the date of the consolidated financial statements and, as such, no accrual for the loss has been recorded within the consolidated financial statements.</w:t>
      </w:r>
    </w:p>
    <w:p>
      <w:pPr>
        <w:spacing w:after="0" w:line="200" w:lineRule="exact"/>
        <w:rPr>
          <w:sz w:val="20"/>
          <w:szCs w:val="20"/>
          <w:color w:val="auto"/>
        </w:rPr>
      </w:pPr>
    </w:p>
    <w:p>
      <w:pPr>
        <w:spacing w:after="0" w:line="216" w:lineRule="exact"/>
        <w:rPr>
          <w:sz w:val="20"/>
          <w:szCs w:val="20"/>
          <w:color w:val="auto"/>
        </w:rPr>
      </w:pPr>
    </w:p>
    <w:p>
      <w:pPr>
        <w:ind w:left="420" w:hanging="412"/>
        <w:spacing w:after="0"/>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one operating and reportable segment relating to the research, development and commercialization of its novel gene and cell therapies and vaccines. The segment derives its current revenue from a co-development and commercialization agreement with CanSinoBIO. The Company does not track expenses on an individual program basis for overhead costs, as the Company utilizes its resources across all programs.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Chief Operating Decision Maker (the "CODM"), its Chief Executive Officer, manages the Company's operations on an integrated basis for the purposes of allocating resources. When evaluating the Company's financial performance, the CODM reviews financial information at the consolidated level. The CODM uses net loss as the measure of profit or loss to allocate resources and assess performance. The CODM regularly reviews net loss as reported on the Company’s consolidated statements of operations and comprehensive loss. Financial forecasts and budget to actual results used by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CODM to assess performance and allocate resources, as well as those used for strategic decisions related to headcount and capital expenditures are also reviewed on a consolidated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 of segment assets is reported on the balance sheet as total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is a summary of the segment profit or loss, including significant segment expenses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0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196"/>
        </w:trPr>
        <w:tc>
          <w:tcPr>
            <w:tcW w:w="6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arrangement revenue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r>
      <w:tr>
        <w:trPr>
          <w:trHeight w:val="21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OCU400</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OCU410 and OCU410ST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NeoCart</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9"/>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COVAXIN</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Inhaled mucosal vaccine platform</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229"/>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OCU200</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costs: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personnel costs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16,786</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Facilities and other support costs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30"/>
        </w:trPr>
        <w:tc>
          <w:tcPr>
            <w:tcW w:w="610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(a)</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32,126</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27,579</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26,686</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67,329</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58,812</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(62,916)</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(54,757)</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0"/>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10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(67,846)</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(54,054)</w:t>
            </w:r>
          </w:p>
        </w:tc>
      </w:tr>
      <w:tr>
        <w:trPr>
          <w:trHeight w:val="20"/>
        </w:trPr>
        <w:tc>
          <w:tcPr>
            <w:tcW w:w="6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660" w:firstLine="8"/>
        <w:spacing w:after="0" w:line="540" w:lineRule="auto"/>
        <w:tabs>
          <w:tab w:leader="none" w:pos="174" w:val="left"/>
        </w:tabs>
        <w:numPr>
          <w:ilvl w:val="0"/>
          <w:numId w:val="5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Other expenses include travel for research and development and a clinical and regulatory data repository system for each program. 18. </w:t>
      </w:r>
      <w:r>
        <w:rPr>
          <w:rFonts w:ascii="Times New Roman" w:cs="Times New Roman" w:eastAsia="Times New Roman" w:hAnsi="Times New Roman"/>
          <w:sz w:val="17"/>
          <w:szCs w:val="17"/>
          <w:b w:val="1"/>
          <w:bCs w:val="1"/>
          <w:color w:val="auto"/>
        </w:rPr>
        <w:t>Subsequent Events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Underwritten Registered Direct Offering</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January 2026, we closed an underwritten registered direct offering of 15.0 million shares of our common stock at an offering price of $1.50 per share of common stock for gross proceeds of $22.5 million, before deducting commissions and other estimated offering expenses payable by us.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Performance Share Unit Grant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2026, we granted 9.4 million PSUs to our Chief Executive Officer under our 2019 Plan. The PSUs are eligible to vest based on the achievement of pre-established performance criteria over a three-year period ending December 31, 2028. The performance metrics include certain regulatory milestones and achievement of a stock performance related milestones as determined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33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4560" w:type="dxa"/>
            <w:vAlign w:val="bottom"/>
            <w:gridSpan w:val="3"/>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Ocugen, Inc.</w:t>
            </w:r>
          </w:p>
        </w:tc>
      </w:tr>
      <w:tr>
        <w:trPr>
          <w:trHeight w:val="238"/>
        </w:trPr>
        <w:tc>
          <w:tcPr>
            <w:tcW w:w="2860" w:type="dxa"/>
            <w:vAlign w:val="bottom"/>
          </w:tcPr>
          <w:p>
            <w:pPr>
              <w:spacing w:after="0"/>
              <w:rPr>
                <w:sz w:val="20"/>
                <w:szCs w:val="20"/>
                <w:color w:val="auto"/>
              </w:rPr>
            </w:pPr>
          </w:p>
        </w:tc>
        <w:tc>
          <w:tcPr>
            <w:tcW w:w="4560" w:type="dxa"/>
            <w:vAlign w:val="bottom"/>
            <w:gridSpan w:val="3"/>
          </w:tcPr>
          <w:p>
            <w:pPr>
              <w:jc w:val="center"/>
              <w:ind w:right="2790"/>
              <w:spacing w:after="0"/>
              <w:rPr>
                <w:sz w:val="20"/>
                <w:szCs w:val="20"/>
                <w:color w:val="auto"/>
              </w:rPr>
            </w:pPr>
            <w:r>
              <w:rPr>
                <w:rFonts w:ascii="Times New Roman" w:cs="Times New Roman" w:eastAsia="Times New Roman" w:hAnsi="Times New Roman"/>
                <w:sz w:val="18"/>
                <w:szCs w:val="18"/>
                <w:b w:val="1"/>
                <w:bCs w:val="1"/>
                <w:color w:val="auto"/>
                <w:w w:val="99"/>
              </w:rPr>
              <w:t>List of Subsidiaries</w:t>
            </w:r>
          </w:p>
        </w:tc>
      </w:tr>
      <w:tr>
        <w:trPr>
          <w:trHeight w:val="493"/>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Wholly-Owned Subsidiary</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Ocugen Limited</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Ocugen OpCo, Inc.</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OrthoCellix, Inc.</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Histogenics Securities Corporation</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7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Ocugen Canada Ltd.</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Ocugen India Private Limited</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bl>
    <w:p>
      <w:pPr>
        <w:sectPr>
          <w:pgSz w:w="11900" w:h="16838" w:orient="portrait"/>
          <w:cols w:equalWidth="0" w:num="1">
            <w:col w:w="10120"/>
          </w:cols>
          <w:pgMar w:left="1440" w:top="1413" w:right="339" w:bottom="1440" w:gutter="0" w:footer="0" w:header="0"/>
        </w:sectPr>
      </w:pPr>
    </w:p>
    <w:bookmarkStart w:id="147" w:name="page148"/>
    <w:bookmarkEnd w:id="147"/>
    <w:p>
      <w:pPr>
        <w:jc w:val="center"/>
        <w:ind w:right="-19"/>
        <w:spacing w:after="0"/>
        <w:rPr>
          <w:sz w:val="20"/>
          <w:szCs w:val="20"/>
          <w:color w:val="auto"/>
        </w:rPr>
      </w:pPr>
      <w:r>
        <w:rPr>
          <w:rFonts w:ascii="Georgia" w:cs="Georgia" w:eastAsia="Georgia" w:hAnsi="Georgia"/>
          <w:sz w:val="20"/>
          <w:szCs w:val="20"/>
          <w:color w:val="auto"/>
        </w:rPr>
        <w:t>CONSENT OF INDEPENDENT REGISTERED PUBLIC ACCOUNTING FIRM</w:t>
      </w:r>
    </w:p>
    <w:p>
      <w:pPr>
        <w:spacing w:after="0" w:line="249" w:lineRule="exact"/>
        <w:rPr>
          <w:sz w:val="20"/>
          <w:szCs w:val="20"/>
          <w:color w:val="auto"/>
        </w:rPr>
      </w:pPr>
    </w:p>
    <w:p>
      <w:pPr>
        <w:jc w:val="both"/>
        <w:spacing w:after="0" w:line="233" w:lineRule="auto"/>
        <w:rPr>
          <w:sz w:val="20"/>
          <w:szCs w:val="20"/>
          <w:color w:val="auto"/>
        </w:rPr>
      </w:pPr>
      <w:r>
        <w:rPr>
          <w:rFonts w:ascii="Georgia" w:cs="Georgia" w:eastAsia="Georgia" w:hAnsi="Georgia"/>
          <w:sz w:val="20"/>
          <w:szCs w:val="20"/>
          <w:color w:val="auto"/>
        </w:rPr>
        <w:t>We hereby consent to the incorporation by reference in the Registration Statements on Form S-3 (Nos. 333-234127, 333-278774, and 333-284629) and Form S-8 (Nos. 333-237454, 333-254549, 333-263063, 333-263064, 2222-270082, 333-270083, 333-278773, and 333-285572) of Ocugen, Inc. of our report dated March 4, 2026 relating to the financial statements, which appears in this Form 10-K.</w:t>
      </w:r>
    </w:p>
    <w:p>
      <w:pPr>
        <w:spacing w:after="0" w:line="234" w:lineRule="exact"/>
        <w:rPr>
          <w:sz w:val="20"/>
          <w:szCs w:val="20"/>
          <w:color w:val="auto"/>
        </w:rPr>
      </w:pPr>
    </w:p>
    <w:p>
      <w:pPr>
        <w:spacing w:after="0"/>
        <w:rPr>
          <w:sz w:val="20"/>
          <w:szCs w:val="20"/>
          <w:color w:val="auto"/>
        </w:rPr>
      </w:pPr>
      <w:r>
        <w:rPr>
          <w:rFonts w:ascii="Georgia" w:cs="Georgia" w:eastAsia="Georgia" w:hAnsi="Georgia"/>
          <w:sz w:val="20"/>
          <w:szCs w:val="20"/>
          <w:color w:val="auto"/>
        </w:rPr>
        <w:t>/s/ PricewaterhouseCoopers LLP</w:t>
      </w:r>
    </w:p>
    <w:p>
      <w:pPr>
        <w:spacing w:after="0" w:line="238" w:lineRule="exact"/>
        <w:rPr>
          <w:sz w:val="20"/>
          <w:szCs w:val="20"/>
          <w:color w:val="auto"/>
        </w:rPr>
      </w:pPr>
    </w:p>
    <w:p>
      <w:pPr>
        <w:spacing w:after="0"/>
        <w:rPr>
          <w:sz w:val="20"/>
          <w:szCs w:val="20"/>
          <w:color w:val="auto"/>
        </w:rPr>
      </w:pPr>
      <w:r>
        <w:rPr>
          <w:rFonts w:ascii="Georgia" w:cs="Georgia" w:eastAsia="Georgia" w:hAnsi="Georgia"/>
          <w:sz w:val="20"/>
          <w:szCs w:val="20"/>
          <w:color w:val="auto"/>
        </w:rPr>
        <w:t>Philadelphia, Pennsylvania</w:t>
      </w:r>
    </w:p>
    <w:p>
      <w:pPr>
        <w:spacing w:after="0" w:line="236" w:lineRule="auto"/>
        <w:rPr>
          <w:sz w:val="20"/>
          <w:szCs w:val="20"/>
          <w:color w:val="auto"/>
        </w:rPr>
      </w:pPr>
      <w:r>
        <w:rPr>
          <w:rFonts w:ascii="Georgia" w:cs="Georgia" w:eastAsia="Georgia" w:hAnsi="Georgia"/>
          <w:sz w:val="20"/>
          <w:szCs w:val="20"/>
          <w:color w:val="auto"/>
        </w:rPr>
        <w:t>March 4, 2026</w:t>
      </w:r>
    </w:p>
    <w:p>
      <w:pPr>
        <w:sectPr>
          <w:pgSz w:w="11900" w:h="16838" w:orient="portrait"/>
          <w:cols w:equalWidth="0" w:num="1">
            <w:col w:w="11240"/>
          </w:cols>
          <w:pgMar w:left="320" w:top="1426"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Shankar Musunuri, certify that:</w:t>
      </w:r>
    </w:p>
    <w:p>
      <w:pPr>
        <w:spacing w:after="0" w:line="225"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Ocugen,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720"/>
        <w:spacing w:after="0"/>
        <w:tabs>
          <w:tab w:leader="none" w:pos="4320" w:val="left"/>
        </w:tabs>
        <w:rPr>
          <w:sz w:val="20"/>
          <w:szCs w:val="20"/>
          <w:color w:val="auto"/>
        </w:rPr>
      </w:pPr>
      <w:r>
        <w:rPr>
          <w:rFonts w:ascii="Times New Roman" w:cs="Times New Roman" w:eastAsia="Times New Roman" w:hAnsi="Times New Roman"/>
          <w:sz w:val="18"/>
          <w:szCs w:val="18"/>
          <w:color w:val="auto"/>
        </w:rPr>
        <w:t>Date: March 4, 2026</w:t>
        <w:tab/>
        <w:t>/s/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44316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9">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Shankar Musunuri, Ph.D., MBA</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Chairman, Chief Executive Officer, &amp; Co-Founder</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Ramesh Ramachandran, certify that:</w:t>
      </w:r>
    </w:p>
    <w:p>
      <w:pPr>
        <w:spacing w:after="0" w:line="225"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Ocugen,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660" w:right="20" w:hanging="328"/>
        <w:spacing w:after="0" w:line="266"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720"/>
        <w:spacing w:after="0"/>
        <w:tabs>
          <w:tab w:leader="none" w:pos="4320" w:val="left"/>
        </w:tabs>
        <w:rPr>
          <w:sz w:val="20"/>
          <w:szCs w:val="20"/>
          <w:color w:val="auto"/>
        </w:rPr>
      </w:pPr>
      <w:r>
        <w:rPr>
          <w:rFonts w:ascii="Times New Roman" w:cs="Times New Roman" w:eastAsia="Times New Roman" w:hAnsi="Times New Roman"/>
          <w:sz w:val="18"/>
          <w:szCs w:val="18"/>
          <w:color w:val="auto"/>
        </w:rPr>
        <w:t>Date: March 4, 2026</w:t>
      </w:r>
      <w:r>
        <w:rPr>
          <w:sz w:val="20"/>
          <w:szCs w:val="20"/>
          <w:color w:val="auto"/>
        </w:rPr>
        <w:tab/>
      </w:r>
      <w:r>
        <w:rPr>
          <w:rFonts w:ascii="Times New Roman" w:cs="Times New Roman" w:eastAsia="Times New Roman" w:hAnsi="Times New Roman"/>
          <w:sz w:val="17"/>
          <w:szCs w:val="17"/>
          <w:color w:val="auto"/>
        </w:rPr>
        <w:t>/s/ Ramesh Ramachandran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44316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Ramesh Ramachandran, CPA, MBA, CMA</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03"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Ocugen, Inc. (the Company), does hereby certify, to the best of such officer’s knowledge, that: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38" w:lineRule="exact"/>
        <w:rPr>
          <w:sz w:val="20"/>
          <w:szCs w:val="20"/>
          <w:color w:val="auto"/>
        </w:rPr>
      </w:pPr>
    </w:p>
    <w:p>
      <w:pPr>
        <w:ind w:left="3800"/>
        <w:spacing w:after="0"/>
        <w:tabs>
          <w:tab w:leader="none" w:pos="5420" w:val="left"/>
        </w:tabs>
        <w:rPr>
          <w:sz w:val="20"/>
          <w:szCs w:val="20"/>
          <w:color w:val="auto"/>
        </w:rPr>
      </w:pPr>
      <w:r>
        <w:rPr>
          <w:rFonts w:ascii="Times New Roman" w:cs="Times New Roman" w:eastAsia="Times New Roman" w:hAnsi="Times New Roman"/>
          <w:sz w:val="18"/>
          <w:szCs w:val="18"/>
          <w:color w:val="auto"/>
        </w:rPr>
        <w:t>Date: March 4, 2026</w:t>
      </w:r>
      <w:r>
        <w:rPr>
          <w:sz w:val="20"/>
          <w:szCs w:val="20"/>
          <w:color w:val="auto"/>
        </w:rPr>
        <w:tab/>
      </w:r>
      <w:r>
        <w:rPr>
          <w:rFonts w:ascii="Times New Roman" w:cs="Times New Roman" w:eastAsia="Times New Roman" w:hAnsi="Times New Roman"/>
          <w:sz w:val="17"/>
          <w:szCs w:val="17"/>
          <w:color w:val="auto"/>
        </w:rPr>
        <w:t>/s/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34290</wp:posOffset>
            </wp:positionV>
            <wp:extent cx="37630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1">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Shankar Musunuri, Ph.D., MBA</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Chairman, Chief Executive Officer, &amp; Co-Founder</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6" w:lineRule="exact"/>
        <w:rPr>
          <w:sz w:val="20"/>
          <w:szCs w:val="20"/>
          <w:color w:val="auto"/>
        </w:rPr>
      </w:pPr>
    </w:p>
    <w:p>
      <w:pPr>
        <w:ind w:left="3800"/>
        <w:spacing w:after="0"/>
        <w:tabs>
          <w:tab w:leader="none" w:pos="5420" w:val="left"/>
        </w:tabs>
        <w:rPr>
          <w:sz w:val="20"/>
          <w:szCs w:val="20"/>
          <w:color w:val="auto"/>
        </w:rPr>
      </w:pPr>
      <w:r>
        <w:rPr>
          <w:rFonts w:ascii="Times New Roman" w:cs="Times New Roman" w:eastAsia="Times New Roman" w:hAnsi="Times New Roman"/>
          <w:sz w:val="18"/>
          <w:szCs w:val="18"/>
          <w:color w:val="auto"/>
        </w:rPr>
        <w:t>Date: March 4, 2026</w:t>
      </w:r>
      <w:r>
        <w:rPr>
          <w:sz w:val="20"/>
          <w:szCs w:val="20"/>
          <w:color w:val="auto"/>
        </w:rPr>
        <w:tab/>
      </w:r>
      <w:r>
        <w:rPr>
          <w:rFonts w:ascii="Times New Roman" w:cs="Times New Roman" w:eastAsia="Times New Roman" w:hAnsi="Times New Roman"/>
          <w:sz w:val="17"/>
          <w:szCs w:val="17"/>
          <w:color w:val="auto"/>
        </w:rPr>
        <w:t>/s/ Ramesh Ramachandran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34290</wp:posOffset>
            </wp:positionV>
            <wp:extent cx="37630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2">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Ramesh Ramachandran, CPA, MBA, CMA</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6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 This certification "accompanies" the Form 10-K to which it relates, is not deemed filed with the SEC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lvl w:ilvl="1">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lvl w:ilvl="1">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decimal"/>
      <w:start w:val="2"/>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lowerRoman"/>
      <w:start w:val="7"/>
    </w:lvl>
  </w:abstractNum>
  <w:abstractNum w:abstractNumId="46">
    <w:nsid w:val="75C6C33A"/>
    <w:multiLevelType w:val="hybridMultilevel"/>
    <w:lvl w:ilvl="0">
      <w:lvlJc w:val="left"/>
      <w:lvlText w:val="•"/>
      <w:numFmt w:val="bullet"/>
      <w:start w:val="1"/>
    </w:lvl>
    <w:lvl w:ilvl="1">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emdash "/>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decimal"/>
      <w:start w:val="11"/>
    </w:lvl>
  </w:abstractNum>
  <w:abstractNum w:abstractNumId="53">
    <w:nsid w:val="649BB77C"/>
    <w:multiLevelType w:val="hybridMultilevel"/>
    <w:lvl w:ilvl="0">
      <w:lvlJc w:val="left"/>
      <w:lvlText w:val="%1."/>
      <w:numFmt w:val="decimal"/>
      <w:start w:val="17"/>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44"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5" Type="http://schemas.openxmlformats.org/officeDocument/2006/relationships/image" Target="media/image122.png"/><Relationship Id="rId171"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6" Type="http://schemas.openxmlformats.org/officeDocument/2006/relationships/image" Target="media/image126.png"/><Relationship Id="rId191" Type="http://schemas.openxmlformats.org/officeDocument/2006/relationships/image" Target="media/image127.png"/><Relationship Id="rId193" Type="http://schemas.openxmlformats.org/officeDocument/2006/relationships/image" Target="media/image128.png"/><Relationship Id="rId194" Type="http://schemas.openxmlformats.org/officeDocument/2006/relationships/image" Target="media/image129.png"/><Relationship Id="rId195"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201" Type="http://schemas.openxmlformats.org/officeDocument/2006/relationships/image" Target="media/image136.png"/><Relationship Id="rId202"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215" Type="http://schemas.openxmlformats.org/officeDocument/2006/relationships/image" Target="media/image150.png"/><Relationship Id="rId216" Type="http://schemas.openxmlformats.org/officeDocument/2006/relationships/image" Target="media/image151.png"/><Relationship Id="rId217" Type="http://schemas.openxmlformats.org/officeDocument/2006/relationships/image" Target="media/image152.png"/><Relationship Id="rId218" Type="http://schemas.openxmlformats.org/officeDocument/2006/relationships/image" Target="media/image153.png"/><Relationship Id="rId219" Type="http://schemas.openxmlformats.org/officeDocument/2006/relationships/image" Target="media/image154.png"/><Relationship Id="rId220" Type="http://schemas.openxmlformats.org/officeDocument/2006/relationships/image" Target="media/image155.png"/><Relationship Id="rId221" Type="http://schemas.openxmlformats.org/officeDocument/2006/relationships/image" Target="media/image156.png"/><Relationship Id="rId222" Type="http://schemas.openxmlformats.org/officeDocument/2006/relationships/image" Target="media/image157.png"/><Relationship Id="rId223" Type="http://schemas.openxmlformats.org/officeDocument/2006/relationships/image" Target="media/image158.png"/><Relationship Id="rId224" Type="http://schemas.openxmlformats.org/officeDocument/2006/relationships/image" Target="media/image159.png"/><Relationship Id="rId225" Type="http://schemas.openxmlformats.org/officeDocument/2006/relationships/image" Target="media/image160.png"/><Relationship Id="rId226" Type="http://schemas.openxmlformats.org/officeDocument/2006/relationships/image" Target="media/image161.png"/><Relationship Id="rId227" Type="http://schemas.openxmlformats.org/officeDocument/2006/relationships/image" Target="media/image162.png"/><Relationship Id="rId228" Type="http://schemas.openxmlformats.org/officeDocument/2006/relationships/image" Target="media/image163.png"/><Relationship Id="rId229" Type="http://schemas.openxmlformats.org/officeDocument/2006/relationships/image" Target="media/image164.png"/><Relationship Id="rId230" Type="http://schemas.openxmlformats.org/officeDocument/2006/relationships/image" Target="media/image165.png"/><Relationship Id="rId231" Type="http://schemas.openxmlformats.org/officeDocument/2006/relationships/image" Target="media/image166.png"/><Relationship Id="rId232" Type="http://schemas.openxmlformats.org/officeDocument/2006/relationships/image" Target="media/image167.png"/><Relationship Id="rId126" Type="http://schemas.openxmlformats.org/officeDocument/2006/relationships/hyperlink" Target="https://www.sec.gov/Archives/edgar/data/1372299/000119312514436359/d834595dex31.htm" TargetMode="External"/><Relationship Id="rId127" Type="http://schemas.openxmlformats.org/officeDocument/2006/relationships/hyperlink" Target="https://www.sec.gov/Archives/edgar/data/1372299/000110465919052266/a19-19180_3ex3d1.htm" TargetMode="External"/><Relationship Id="rId128" Type="http://schemas.openxmlformats.org/officeDocument/2006/relationships/hyperlink" Target="https://www.sec.gov/Archives/edgar/data/1372299/000110465919052266/a19-19180_3ex3d2.htm" TargetMode="External"/><Relationship Id="rId129" Type="http://schemas.openxmlformats.org/officeDocument/2006/relationships/hyperlink" Target="https://www.sec.gov/Archives/edgar/data/1372299/000162828021009457/ocgn-20210331x10qxex31.htm" TargetMode="External"/><Relationship Id="rId130" Type="http://schemas.openxmlformats.org/officeDocument/2006/relationships/hyperlink" Target="https://www.sec.gov/Archives/edgar/data/1372299/000162828024035822/ocgn-20240630x10qxex32.htm" TargetMode="External"/><Relationship Id="rId131" Type="http://schemas.openxmlformats.org/officeDocument/2006/relationships/hyperlink" Target="https://www.sec.gov/Archives/edgar/data/1372299/000119312516711655/d262403dex33.htm" TargetMode="External"/><Relationship Id="rId132" Type="http://schemas.openxmlformats.org/officeDocument/2006/relationships/hyperlink" Target="https://www.sec.gov/Archives/edgar/data/1372299/000162828021005124/ocgn-20201231x10kxex35.htm" TargetMode="External"/><Relationship Id="rId133" Type="http://schemas.openxmlformats.org/officeDocument/2006/relationships/hyperlink" Target="https://www.sec.gov/Archives/edgar/data/1372299/000110465924059907/tm2413925d1_ex3-1.htm" TargetMode="External"/><Relationship Id="rId134" Type="http://schemas.openxmlformats.org/officeDocument/2006/relationships/hyperlink" Target="https://www.sec.gov/Archives/edgar/data/1372299/000162828023030128/ocgn-20230630x10qxex31.htm" TargetMode="External"/><Relationship Id="rId135" Type="http://schemas.openxmlformats.org/officeDocument/2006/relationships/hyperlink" Target="https://www.sec.gov/Archives/edgar/data/1372299/000110465924036775/tm249388d1_ex3-1.htm" TargetMode="External"/><Relationship Id="rId136" Type="http://schemas.openxmlformats.org/officeDocument/2006/relationships/hyperlink" Target="https://www.sec.gov/Archives/edgar/data/1372299/000162828025024093/certificateofcorrection.htm" TargetMode="External"/><Relationship Id="rId137" Type="http://schemas.openxmlformats.org/officeDocument/2006/relationships/hyperlink" Target="https://www.sec.gov/Archives/edgar/data/1372299/000162828022004085/ocgn-20211231x10kxex41.htm" TargetMode="External"/><Relationship Id="rId138" Type="http://schemas.openxmlformats.org/officeDocument/2006/relationships/hyperlink" Target="https://www.sec.gov/Archives/edgar/data/1372299/000162828021005124/ocgn-20201231x10kxex48.htm" TargetMode="External"/><Relationship Id="rId139" Type="http://schemas.openxmlformats.org/officeDocument/2006/relationships/hyperlink" Target="https://www.sec.gov/Archives/edgar/data/1372299/000110465925075956/tm2523010d1_ex4-1.htm" TargetMode="External"/><Relationship Id="rId140" Type="http://schemas.openxmlformats.org/officeDocument/2006/relationships/hyperlink" Target="https://www.sec.gov/Archives/edgar/data/1372299/000119312519173827/d701045dex1030.htm" TargetMode="External"/><Relationship Id="rId141" Type="http://schemas.openxmlformats.org/officeDocument/2006/relationships/hyperlink" Target="https://www.sec.gov/Archives/edgar/data/1372299/000119312519173827/d701045dex1031.htm" TargetMode="External"/><Relationship Id="rId142" Type="http://schemas.openxmlformats.org/officeDocument/2006/relationships/hyperlink" Target="https://www.sec.gov/Archives/edgar/data/1372299/000119312519173827/d701045dex1032.htm" TargetMode="External"/><Relationship Id="rId143" Type="http://schemas.openxmlformats.org/officeDocument/2006/relationships/hyperlink" Target="https://www.sec.gov/Archives/edgar/data/1372299/000110465919061672/a19-22199_1def14a.htm#APPENDIXA_065112" TargetMode="External"/><Relationship Id="rId145" Type="http://schemas.openxmlformats.org/officeDocument/2006/relationships/hyperlink" Target="https://www.sec.gov/Archives/edgar/data/1372299/000162828023005382/ocgn-20221231x10kxex105.htm" TargetMode="External"/><Relationship Id="rId146" Type="http://schemas.openxmlformats.org/officeDocument/2006/relationships/hyperlink" Target="https://www.sec.gov/Archives/edgar/data/1372299/000162828023005382/ocgn-20221231x10kxex106.htm" TargetMode="External"/><Relationship Id="rId147" Type="http://schemas.openxmlformats.org/officeDocument/2006/relationships/hyperlink" Target="https://www.sec.gov/Archives/edgar/data/1372299/000162828023005382/ocgn-20221231x10kxex107.htm" TargetMode="External"/><Relationship Id="rId148" Type="http://schemas.openxmlformats.org/officeDocument/2006/relationships/hyperlink" Target="https://www.sec.gov/Archives/edgar/data/1372299/000162828021009457/ocgn-20210331x10qxex102.htm" TargetMode="External"/><Relationship Id="rId149" Type="http://schemas.openxmlformats.org/officeDocument/2006/relationships/hyperlink" Target="https://www.sec.gov/Archives/edgar/data/1372299/000162828023005382/ocgn-20221231x10kxex109.htm" TargetMode="External"/><Relationship Id="rId150" Type="http://schemas.openxmlformats.org/officeDocument/2006/relationships/hyperlink" Target="https://www.sec.gov/Archives/edgar/data/1372299/000162828023005382/ocgn-20221231x10kxex1010.htm" TargetMode="External"/><Relationship Id="rId151" Type="http://schemas.openxmlformats.org/officeDocument/2006/relationships/hyperlink" Target="https://www.sec.gov/Archives/edgar/data/1372299/000119312519173827/d701045dex1033.htm" TargetMode="External"/><Relationship Id="rId154" Type="http://schemas.openxmlformats.org/officeDocument/2006/relationships/hyperlink" Target="https://www.sec.gov/Archives/edgar/data/1372299/000119312519173827/d701045dex1034.htm" TargetMode="External"/><Relationship Id="rId156" Type="http://schemas.openxmlformats.org/officeDocument/2006/relationships/hyperlink" Target="https://www.sec.gov/Archives/edgar/data/1372299/000119312519173827/d701045dex1035.htm" TargetMode="External"/><Relationship Id="rId157" Type="http://schemas.openxmlformats.org/officeDocument/2006/relationships/hyperlink" Target="https://www.sec.gov/Archives/edgar/data/1372299/000119312519173827/d701045dex1037.htm" TargetMode="External"/><Relationship Id="rId158" Type="http://schemas.openxmlformats.org/officeDocument/2006/relationships/hyperlink" Target="https://www.sec.gov/Archives/edgar/data/1372299/000162828021009457/ocgn-20210331x10qxex101.htm" TargetMode="External"/><Relationship Id="rId159" Type="http://schemas.openxmlformats.org/officeDocument/2006/relationships/hyperlink" Target="https://www.sec.gov/Archives/edgar/data/1372299/000162828021015998/ocgn-20210630x10qxex101.htm" TargetMode="External"/><Relationship Id="rId160" Type="http://schemas.openxmlformats.org/officeDocument/2006/relationships/hyperlink" Target="https://www.sec.gov/Archives/edgar/data/1372299/000162828022012850/ocgn-20220331x10qxex101.htm" TargetMode="External"/><Relationship Id="rId161" Type="http://schemas.openxmlformats.org/officeDocument/2006/relationships/hyperlink" Target="https://www.sec.gov/Archives/edgar/data/1372299/000162828021022421/ocgn-20210930x10qxex101.htm" TargetMode="External"/><Relationship Id="rId162" Type="http://schemas.openxmlformats.org/officeDocument/2006/relationships/hyperlink" Target="https://www.sec.gov/Archives/edgar/data/1372299/000110465919062626/a19-21452_1ex10d2.htm" TargetMode="External"/><Relationship Id="rId163" Type="http://schemas.openxmlformats.org/officeDocument/2006/relationships/hyperlink" Target="https://www.sec.gov/Archives/edgar/data/1372299/000162828021022421/ocgn-20210930x10qxex102.htm" TargetMode="External"/><Relationship Id="rId164" Type="http://schemas.openxmlformats.org/officeDocument/2006/relationships/hyperlink" Target="https://www.sec.gov/Archives/edgar/data/1372299/000162828023005382/ocgn-20221231x10kxex1021.htm" TargetMode="External"/><Relationship Id="rId165" Type="http://schemas.openxmlformats.org/officeDocument/2006/relationships/hyperlink" Target="https://www.sec.gov/Archives/edgar/data/1372299/000162828024016378/ocgn-20231231x10kxex1022.htm" TargetMode="External"/><Relationship Id="rId166" Type="http://schemas.openxmlformats.org/officeDocument/2006/relationships/hyperlink" Target="https://www.sec.gov/Archives/edgar/data/1372299/000162828022028775/ocgn-20220930x10qxex101.htm" TargetMode="External"/><Relationship Id="rId167" Type="http://schemas.openxmlformats.org/officeDocument/2006/relationships/hyperlink" Target="https://www.sec.gov/Archives/edgar/data/1372299/000162828023005382/ocgn-20221231x10kxex1023.htm" TargetMode="External"/><Relationship Id="rId168" Type="http://schemas.openxmlformats.org/officeDocument/2006/relationships/hyperlink" Target="https://www.sec.gov/Archives/edgar/data/1372299/000162828024016378/ocgn-20231231x10kxex1025.htm" TargetMode="External"/><Relationship Id="rId169" Type="http://schemas.openxmlformats.org/officeDocument/2006/relationships/hyperlink" Target="https://www.sec.gov/Archives/edgar/data/1372299/000119312519199843/d701045dex1042.htm" TargetMode="External"/><Relationship Id="rId170" Type="http://schemas.openxmlformats.org/officeDocument/2006/relationships/hyperlink" Target="https://www.sec.gov/Archives/edgar/data/1372299/000162828025037310/ocgn-20250630x10qxex101.htm" TargetMode="External"/><Relationship Id="rId172" Type="http://schemas.openxmlformats.org/officeDocument/2006/relationships/hyperlink" Target="https://www.sec.gov/Archives/edgar/data/1372299/000110465920000923/tm201204d1_ex10-1.htm" TargetMode="External"/><Relationship Id="rId175" Type="http://schemas.openxmlformats.org/officeDocument/2006/relationships/hyperlink" Target="https://www.sec.gov/Archives/edgar/data/1372299/000162828022012850/ocgn-20220331x10qxex103.htm" TargetMode="External"/><Relationship Id="rId177" Type="http://schemas.openxmlformats.org/officeDocument/2006/relationships/hyperlink" Target="https://www.sec.gov/Archives/edgar/data/1372299/000162828023005382/ocgn-20221231x10kxex1030.htm" TargetMode="External"/><Relationship Id="rId178" Type="http://schemas.openxmlformats.org/officeDocument/2006/relationships/hyperlink" Target="https://www.sec.gov/Archives/edgar/data/1372299/000162828023005382/ocgn-20221231x10kxex1031.htm" TargetMode="External"/><Relationship Id="rId179" Type="http://schemas.openxmlformats.org/officeDocument/2006/relationships/hyperlink" Target="https://www.sec.gov/Archives/edgar/data/1372299/000119312514365761/d624561dex1020.htm" TargetMode="External"/><Relationship Id="rId180" Type="http://schemas.openxmlformats.org/officeDocument/2006/relationships/hyperlink" Target="https://www.sec.gov/Archives/edgar/data/1372299/000119312516679283/d212966dex1033.htm" TargetMode="External"/><Relationship Id="rId181" Type="http://schemas.openxmlformats.org/officeDocument/2006/relationships/hyperlink" Target="https://www.sec.gov/Archives/edgar/data/1372299/000162828024023038/ocgn-20240331x10qxex101.htm" TargetMode="External"/><Relationship Id="rId182" Type="http://schemas.openxmlformats.org/officeDocument/2006/relationships/hyperlink" Target="https://www.sec.gov/Archives/edgar/data/1372299/000110465925010531/tm255898d1_ex10-2.htm" TargetMode="External"/><Relationship Id="rId183" Type="http://schemas.openxmlformats.org/officeDocument/2006/relationships/hyperlink" Target="https://www.sec.gov/Archives/edgar/data/1372299/000110465925010531/tm255898d1_ex10-3.htm" TargetMode="External"/><Relationship Id="rId184" Type="http://schemas.openxmlformats.org/officeDocument/2006/relationships/hyperlink" Target="https://www.sec.gov/Archives/edgar/data/1372299/000110465925010531/tm255898d1_ex10-1.htm" TargetMode="External"/><Relationship Id="rId185" Type="http://schemas.openxmlformats.org/officeDocument/2006/relationships/hyperlink" Target="https://www.sec.gov/Archives/edgar/data/1372299/000162828025010271/rameshramachandranemploy.htm" TargetMode="External"/><Relationship Id="rId186" Type="http://schemas.openxmlformats.org/officeDocument/2006/relationships/hyperlink" Target="https://www.sec.gov/Archives/edgar/data/1372299/000137229925000013/ocgn-20250930x10qxex1011.htm" TargetMode="External"/><Relationship Id="rId187" Type="http://schemas.openxmlformats.org/officeDocument/2006/relationships/hyperlink" Target="https://www.sec.gov/Archives/edgar/data/1372299/000110465925075956/tm2523010d1_ex10-1.htm" TargetMode="External"/><Relationship Id="rId188" Type="http://schemas.openxmlformats.org/officeDocument/2006/relationships/hyperlink" Target="https://www.sec.gov/Archives/edgar/data/1372299/000110465925075956/tm2523010d1_ex10-2.htm" TargetMode="External"/><Relationship Id="rId189" Type="http://schemas.openxmlformats.org/officeDocument/2006/relationships/hyperlink" Target="https://www.sec.gov/Archives/edgar/data/1372299/000110465926011765/tm265594d1_ex10-1.htm" TargetMode="External"/><Relationship Id="rId190" Type="http://schemas.openxmlformats.org/officeDocument/2006/relationships/hyperlink" Target="https://www.sec.gov/Archives/edgar/data/1372299/000162828025010271/insidertradingpolicy.htm" TargetMode="External"/><Relationship Id="rId192" Type="http://schemas.openxmlformats.org/officeDocument/2006/relationships/hyperlink" Target="https://www.sec.gov/Archives/edgar/data/1372299/000162828025010271/ocgn-20241231x10k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2026-03-04T10:44:27Z</dcterms:created>
  <dcterms:modified xsi:type="dcterms:W3CDTF">2026-03-04T10:44:27Z</dcterms:modified>
</cp:coreProperties>
</file>