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0"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9"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91" w:lineRule="exact"/>
        <w:rPr>
          <w:rFonts w:ascii="MS PGothic" w:cs="MS PGothic" w:eastAsia="MS PGothic" w:hAnsi="MS PGothic"/>
          <w:sz w:val="17"/>
          <w:szCs w:val="17"/>
          <w:color w:val="auto"/>
          <w:highlight w:val="black"/>
        </w:rPr>
      </w:pPr>
    </w:p>
    <w:p>
      <w:pPr>
        <w:ind w:left="278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8"/>
          <w:szCs w:val="18"/>
          <w:b w:val="1"/>
          <w:bCs w:val="1"/>
          <w:color w:val="auto"/>
        </w:rPr>
        <w:t>For the transition period from _________________ to _________________</w:t>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001-36751</w:t>
      </w:r>
    </w:p>
    <w:p>
      <w:pPr>
        <w:spacing w:after="0" w:line="47"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41910</wp:posOffset>
            </wp:positionV>
            <wp:extent cx="1499870" cy="857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OCUGEN,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w:t>
      </w:r>
    </w:p>
    <w:p>
      <w:pPr>
        <w:sectPr>
          <w:pgSz w:w="11900" w:h="16838" w:orient="portrait"/>
          <w:cols w:equalWidth="0" w:num="1">
            <w:col w:w="11240"/>
          </w:cols>
          <w:pgMar w:left="320" w:top="229" w:right="339" w:bottom="906" w:gutter="0" w:footer="0" w:header="0"/>
        </w:sectPr>
      </w:pPr>
    </w:p>
    <w:p>
      <w:pPr>
        <w:spacing w:after="0" w:line="49"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04-3522315</w:t>
      </w:r>
    </w:p>
    <w:p>
      <w:pPr>
        <w:spacing w:after="0" w:line="61" w:lineRule="exact"/>
        <w:rPr>
          <w:sz w:val="24"/>
          <w:szCs w:val="24"/>
          <w:color w:val="auto"/>
        </w:rPr>
      </w:pPr>
    </w:p>
    <w:p>
      <w:pPr>
        <w:sectPr>
          <w:pgSz w:w="11900" w:h="16838" w:orient="portrait"/>
          <w:cols w:equalWidth="0" w:num="2">
            <w:col w:w="7300" w:space="720"/>
            <w:col w:w="3220"/>
          </w:cols>
          <w:pgMar w:left="320" w:top="229" w:right="339" w:bottom="906" w:gutter="0" w:footer="0" w:header="0"/>
          <w:type w:val="continuous"/>
        </w:sectPr>
      </w:pPr>
    </w:p>
    <w:p>
      <w:pPr>
        <w:ind w:left="1820"/>
        <w:spacing w:after="0"/>
        <w:rPr>
          <w:sz w:val="20"/>
          <w:szCs w:val="20"/>
          <w:color w:val="auto"/>
        </w:rPr>
      </w:pPr>
      <w:r>
        <w:rPr>
          <w:rFonts w:ascii="Times New Roman" w:cs="Times New Roman" w:eastAsia="Times New Roman" w:hAnsi="Times New Roman"/>
          <w:sz w:val="17"/>
          <w:szCs w:val="17"/>
          <w:color w:val="auto"/>
        </w:rPr>
        <w:t>(State or other jurisdiction of</w:t>
      </w:r>
    </w:p>
    <w:p>
      <w:pPr>
        <w:ind w:left="17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7"/>
          <w:szCs w:val="17"/>
          <w:color w:val="auto"/>
        </w:rPr>
        <w:t>(I.R.S. Employer</w:t>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58" w:lineRule="exact"/>
        <w:rPr>
          <w:sz w:val="24"/>
          <w:szCs w:val="24"/>
          <w:color w:val="auto"/>
        </w:rPr>
      </w:pPr>
    </w:p>
    <w:p>
      <w:pPr>
        <w:sectPr>
          <w:pgSz w:w="11900" w:h="16838" w:orient="portrait"/>
          <w:cols w:equalWidth="0" w:num="2">
            <w:col w:w="7080" w:space="720"/>
            <w:col w:w="3440"/>
          </w:cols>
          <w:pgMar w:left="320" w:top="229" w:right="339" w:bottom="906"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11 Great Valley Parkway</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Malvern, Pennsylvania 19355</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(484) 328-4701</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229" w:right="339" w:bottom="906" w:gutter="0" w:footer="0" w:header="0"/>
          <w:type w:val="continuous"/>
        </w:sectPr>
      </w:pPr>
    </w:p>
    <w:p>
      <w:pPr>
        <w:spacing w:after="0" w:line="9"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19"/>
                <w:szCs w:val="19"/>
                <w:color w:val="auto"/>
              </w:rPr>
            </w:pPr>
          </w:p>
        </w:tc>
        <w:tc>
          <w:tcPr>
            <w:tcW w:w="430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5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gridSpan w:val="3"/>
          </w:tcPr>
          <w:p>
            <w:pPr>
              <w:jc w:val="center"/>
              <w:ind w:right="640"/>
              <w:spacing w:after="0" w:line="191" w:lineRule="exact"/>
              <w:rPr>
                <w:sz w:val="20"/>
                <w:szCs w:val="20"/>
                <w:color w:val="auto"/>
              </w:rPr>
            </w:pPr>
            <w:r>
              <w:rPr>
                <w:rFonts w:ascii="Times New Roman" w:cs="Times New Roman" w:eastAsia="Times New Roman" w:hAnsi="Times New Roman"/>
                <w:sz w:val="17"/>
                <w:szCs w:val="17"/>
                <w:b w:val="1"/>
                <w:bCs w:val="1"/>
                <w:color w:val="auto"/>
                <w:w w:val="97"/>
              </w:rPr>
              <w:t>Trading</w:t>
            </w:r>
          </w:p>
        </w:tc>
        <w:tc>
          <w:tcPr>
            <w:tcW w:w="3380" w:type="dxa"/>
            <w:vAlign w:val="bottom"/>
          </w:tcPr>
          <w:p>
            <w:pPr>
              <w:jc w:val="center"/>
              <w:ind w:right="475"/>
              <w:spacing w:after="0" w:line="191" w:lineRule="exact"/>
              <w:rPr>
                <w:sz w:val="20"/>
                <w:szCs w:val="20"/>
                <w:color w:val="auto"/>
              </w:rPr>
            </w:pPr>
            <w:r>
              <w:rPr>
                <w:rFonts w:ascii="Times New Roman" w:cs="Times New Roman" w:eastAsia="Times New Roman" w:hAnsi="Times New Roman"/>
                <w:sz w:val="17"/>
                <w:szCs w:val="17"/>
                <w:b w:val="1"/>
                <w:bCs w:val="1"/>
                <w:color w:val="auto"/>
              </w:rPr>
              <w:t>Name of each exchange</w:t>
            </w:r>
          </w:p>
        </w:tc>
        <w:tc>
          <w:tcPr>
            <w:tcW w:w="0" w:type="dxa"/>
            <w:vAlign w:val="bottom"/>
          </w:tcPr>
          <w:p>
            <w:pPr>
              <w:spacing w:after="0"/>
              <w:rPr>
                <w:sz w:val="1"/>
                <w:szCs w:val="1"/>
                <w:color w:val="auto"/>
              </w:rPr>
            </w:pPr>
          </w:p>
        </w:tc>
      </w:tr>
      <w:tr>
        <w:trPr>
          <w:trHeight w:val="228"/>
        </w:trPr>
        <w:tc>
          <w:tcPr>
            <w:tcW w:w="35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00" w:type="dxa"/>
            <w:vAlign w:val="bottom"/>
            <w:gridSpan w:val="3"/>
          </w:tcPr>
          <w:p>
            <w:pPr>
              <w:jc w:val="center"/>
              <w:ind w:right="660"/>
              <w:spacing w:after="0"/>
              <w:rPr>
                <w:sz w:val="20"/>
                <w:szCs w:val="20"/>
                <w:color w:val="auto"/>
              </w:rPr>
            </w:pPr>
            <w:r>
              <w:rPr>
                <w:rFonts w:ascii="Times New Roman" w:cs="Times New Roman" w:eastAsia="Times New Roman" w:hAnsi="Times New Roman"/>
                <w:sz w:val="17"/>
                <w:szCs w:val="17"/>
                <w:b w:val="1"/>
                <w:bCs w:val="1"/>
                <w:color w:val="auto"/>
                <w:w w:val="98"/>
              </w:rPr>
              <w:t>Symbol(s)</w:t>
            </w:r>
          </w:p>
        </w:tc>
        <w:tc>
          <w:tcPr>
            <w:tcW w:w="3380" w:type="dxa"/>
            <w:vAlign w:val="bottom"/>
          </w:tcPr>
          <w:p>
            <w:pPr>
              <w:jc w:val="center"/>
              <w:ind w:right="475"/>
              <w:spacing w:after="0"/>
              <w:rPr>
                <w:sz w:val="20"/>
                <w:szCs w:val="20"/>
                <w:color w:val="auto"/>
              </w:rPr>
            </w:pPr>
            <w:r>
              <w:rPr>
                <w:rFonts w:ascii="Times New Roman" w:cs="Times New Roman" w:eastAsia="Times New Roman" w:hAnsi="Times New Roman"/>
                <w:sz w:val="17"/>
                <w:szCs w:val="17"/>
                <w:b w:val="1"/>
                <w:bCs w:val="1"/>
                <w:color w:val="auto"/>
                <w:w w:val="99"/>
              </w:rPr>
              <w:t>on which registered</w:t>
            </w:r>
          </w:p>
        </w:tc>
        <w:tc>
          <w:tcPr>
            <w:tcW w:w="0" w:type="dxa"/>
            <w:vAlign w:val="bottom"/>
          </w:tcPr>
          <w:p>
            <w:pPr>
              <w:spacing w:after="0"/>
              <w:rPr>
                <w:sz w:val="1"/>
                <w:szCs w:val="1"/>
                <w:color w:val="auto"/>
              </w:rPr>
            </w:pPr>
          </w:p>
        </w:tc>
      </w:tr>
      <w:tr>
        <w:trPr>
          <w:trHeight w:val="157"/>
        </w:trPr>
        <w:tc>
          <w:tcPr>
            <w:tcW w:w="3560" w:type="dxa"/>
            <w:vAlign w:val="bottom"/>
            <w:tcBorders>
              <w:top w:val="single" w:sz="8" w:color="auto"/>
            </w:tcBorders>
          </w:tcPr>
          <w:p>
            <w:pPr>
              <w:jc w:val="center"/>
              <w:ind w:left="235"/>
              <w:spacing w:after="0" w:line="157" w:lineRule="exact"/>
              <w:rPr>
                <w:sz w:val="20"/>
                <w:szCs w:val="20"/>
                <w:color w:val="auto"/>
              </w:rPr>
            </w:pPr>
            <w:r>
              <w:rPr>
                <w:rFonts w:ascii="Times New Roman" w:cs="Times New Roman" w:eastAsia="Times New Roman" w:hAnsi="Times New Roman"/>
                <w:sz w:val="17"/>
                <w:szCs w:val="17"/>
                <w:b w:val="1"/>
                <w:bCs w:val="1"/>
                <w:color w:val="auto"/>
                <w:w w:val="99"/>
              </w:rPr>
              <w:t>Common Stock, par value $0.01 per share</w:t>
            </w: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7"/>
                <w:szCs w:val="17"/>
                <w:b w:val="1"/>
                <w:bCs w:val="1"/>
                <w:color w:val="auto"/>
              </w:rPr>
              <w:t>OCGN</w:t>
            </w: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380" w:type="dxa"/>
            <w:vAlign w:val="bottom"/>
            <w:tcBorders>
              <w:top w:val="single" w:sz="8" w:color="auto"/>
            </w:tcBorders>
          </w:tcPr>
          <w:p>
            <w:pPr>
              <w:jc w:val="center"/>
              <w:ind w:right="475"/>
              <w:spacing w:after="0" w:line="157" w:lineRule="exact"/>
              <w:rPr>
                <w:sz w:val="20"/>
                <w:szCs w:val="20"/>
                <w:color w:val="auto"/>
              </w:rPr>
            </w:pPr>
            <w:r>
              <w:rPr>
                <w:rFonts w:ascii="Times New Roman" w:cs="Times New Roman" w:eastAsia="Times New Roman" w:hAnsi="Times New Roman"/>
                <w:sz w:val="17"/>
                <w:szCs w:val="17"/>
                <w:b w:val="1"/>
                <w:bCs w:val="1"/>
                <w:color w:val="auto"/>
                <w:w w:val="99"/>
              </w:rPr>
              <w:t>The Nasdaq Stock Market LLC</w:t>
            </w:r>
          </w:p>
        </w:tc>
        <w:tc>
          <w:tcPr>
            <w:tcW w:w="0" w:type="dxa"/>
            <w:vAlign w:val="bottom"/>
          </w:tcPr>
          <w:p>
            <w:pPr>
              <w:spacing w:after="0"/>
              <w:rPr>
                <w:sz w:val="1"/>
                <w:szCs w:val="1"/>
                <w:color w:val="auto"/>
              </w:rPr>
            </w:pPr>
          </w:p>
        </w:tc>
      </w:tr>
      <w:tr>
        <w:trPr>
          <w:trHeight w:val="226"/>
        </w:trPr>
        <w:tc>
          <w:tcPr>
            <w:tcW w:w="3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80" w:type="dxa"/>
            <w:vAlign w:val="bottom"/>
          </w:tcPr>
          <w:p>
            <w:pPr>
              <w:jc w:val="center"/>
              <w:ind w:right="475"/>
              <w:spacing w:after="0"/>
              <w:rPr>
                <w:sz w:val="20"/>
                <w:szCs w:val="20"/>
                <w:color w:val="auto"/>
              </w:rPr>
            </w:pPr>
            <w:r>
              <w:rPr>
                <w:rFonts w:ascii="Times New Roman" w:cs="Times New Roman" w:eastAsia="Times New Roman" w:hAnsi="Times New Roman"/>
                <w:sz w:val="17"/>
                <w:szCs w:val="17"/>
                <w:b w:val="1"/>
                <w:bCs w:val="1"/>
                <w:color w:val="auto"/>
              </w:rPr>
              <w:t>(The Nasdaq Capital Market)</w:t>
            </w:r>
          </w:p>
        </w:tc>
        <w:tc>
          <w:tcPr>
            <w:tcW w:w="0" w:type="dxa"/>
            <w:vAlign w:val="bottom"/>
          </w:tcPr>
          <w:p>
            <w:pPr>
              <w:spacing w:after="0"/>
              <w:rPr>
                <w:sz w:val="1"/>
                <w:szCs w:val="1"/>
                <w:color w:val="auto"/>
              </w:rPr>
            </w:pPr>
          </w:p>
        </w:tc>
      </w:tr>
    </w:tbl>
    <w:p>
      <w:pPr>
        <w:spacing w:after="0" w:line="278" w:lineRule="exact"/>
        <w:rPr>
          <w:sz w:val="24"/>
          <w:szCs w:val="24"/>
          <w:color w:val="auto"/>
        </w:rPr>
      </w:pPr>
    </w:p>
    <w:p>
      <w:pPr>
        <w:jc w:val="both"/>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4"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3"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040" w:type="dxa"/>
            <w:vAlign w:val="bottom"/>
          </w:tcPr>
          <w:p>
            <w:pPr>
              <w:ind w:left="740"/>
              <w:spacing w:after="0" w:line="171" w:lineRule="exact"/>
              <w:rPr>
                <w:sz w:val="20"/>
                <w:szCs w:val="20"/>
                <w:color w:val="auto"/>
              </w:rPr>
            </w:pPr>
            <w:r>
              <w:rPr>
                <w:rFonts w:ascii="MS PGothic" w:cs="MS PGothic" w:eastAsia="MS PGothic" w:hAnsi="MS PGothic"/>
                <w:sz w:val="17"/>
                <w:szCs w:val="17"/>
                <w:color w:val="auto"/>
              </w:rPr>
              <w:t>☐</w:t>
            </w:r>
          </w:p>
        </w:tc>
        <w:tc>
          <w:tcPr>
            <w:tcW w:w="374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Accelerated filer</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56"/>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040" w:type="dxa"/>
            <w:vAlign w:val="bottom"/>
          </w:tcPr>
          <w:p>
            <w:pPr>
              <w:ind w:left="740"/>
              <w:spacing w:after="0" w:line="171" w:lineRule="exact"/>
              <w:rPr>
                <w:sz w:val="20"/>
                <w:szCs w:val="20"/>
                <w:color w:val="auto"/>
              </w:rPr>
            </w:pPr>
            <w:r>
              <w:rPr>
                <w:rFonts w:ascii="MS PGothic" w:cs="MS PGothic" w:eastAsia="MS PGothic" w:hAnsi="MS PGothic"/>
                <w:sz w:val="17"/>
                <w:szCs w:val="17"/>
                <w:color w:val="auto"/>
              </w:rPr>
              <w:t>☒</w:t>
            </w:r>
          </w:p>
        </w:tc>
        <w:tc>
          <w:tcPr>
            <w:tcW w:w="374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2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4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Emerging growth company</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97" w:lineRule="exact"/>
        <w:rPr>
          <w:sz w:val="24"/>
          <w:szCs w:val="24"/>
          <w:color w:val="auto"/>
        </w:rPr>
      </w:pPr>
    </w:p>
    <w:p>
      <w:pPr>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5" w:lineRule="exact"/>
        <w:rPr>
          <w:sz w:val="24"/>
          <w:szCs w:val="24"/>
          <w:color w:val="auto"/>
        </w:rPr>
      </w:pPr>
    </w:p>
    <w:p>
      <w:pPr>
        <w:ind w:right="2240"/>
        <w:spacing w:after="0" w:line="29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April 30, 2026 there were 338,521,856 outstanding shares of the registrant's 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906"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316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I—FINANCIAL INFORMATION</w:t>
            </w:r>
          </w:p>
        </w:tc>
        <w:tc>
          <w:tcPr>
            <w:tcW w:w="7040" w:type="dxa"/>
            <w:vAlign w:val="bottom"/>
            <w:gridSpan w:val="10"/>
            <w:vMerge w:val="restart"/>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3160" w:type="dxa"/>
            <w:vAlign w:val="bottom"/>
            <w:tcBorders>
              <w:bottom w:val="single" w:sz="8" w:color="0000FF"/>
            </w:tcBorders>
            <w:gridSpan w:val="12"/>
            <w:vMerge w:val="continue"/>
          </w:tcPr>
          <w:p>
            <w:pPr>
              <w:spacing w:after="0"/>
              <w:rPr>
                <w:sz w:val="15"/>
                <w:szCs w:val="15"/>
                <w:color w:val="auto"/>
              </w:rPr>
            </w:pPr>
          </w:p>
        </w:tc>
        <w:tc>
          <w:tcPr>
            <w:tcW w:w="7040" w:type="dxa"/>
            <w:vAlign w:val="bottom"/>
            <w:gridSpan w:val="10"/>
            <w:vMerge w:val="continue"/>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944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March 31, 2026 and December 31, 2025</w:t>
            </w:r>
          </w:p>
        </w:tc>
        <w:tc>
          <w:tcPr>
            <w:tcW w:w="2500" w:type="dxa"/>
            <w:vAlign w:val="bottom"/>
            <w:gridSpan w:val="4"/>
          </w:tcPr>
          <w:p>
            <w:pPr>
              <w:spacing w:after="0"/>
              <w:rPr>
                <w:sz w:val="21"/>
                <w:szCs w:val="21"/>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7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months ended March 31, 2026</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8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and 2025</w:t>
            </w:r>
          </w:p>
        </w:tc>
        <w:tc>
          <w:tcPr>
            <w:tcW w:w="100" w:type="dxa"/>
            <w:vAlign w:val="bottom"/>
          </w:tcPr>
          <w:p>
            <w:pPr>
              <w:spacing w:after="0"/>
              <w:rPr>
                <w:sz w:val="17"/>
                <w:szCs w:val="17"/>
                <w:color w:val="auto"/>
              </w:rPr>
            </w:pPr>
          </w:p>
        </w:tc>
        <w:tc>
          <w:tcPr>
            <w:tcW w:w="9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months ended March 31, 2026 and 2025</w:t>
            </w:r>
          </w:p>
        </w:tc>
        <w:tc>
          <w:tcPr>
            <w:tcW w:w="540" w:type="dxa"/>
            <w:vAlign w:val="bottom"/>
            <w:gridSpan w:val="2"/>
          </w:tcPr>
          <w:p>
            <w:pPr>
              <w:spacing w:after="0"/>
              <w:rPr>
                <w:sz w:val="21"/>
                <w:szCs w:val="21"/>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2026 and 2025</w:t>
            </w:r>
          </w:p>
        </w:tc>
        <w:tc>
          <w:tcPr>
            <w:tcW w:w="540" w:type="dxa"/>
            <w:vAlign w:val="bottom"/>
            <w:gridSpan w:val="2"/>
          </w:tcPr>
          <w:p>
            <w:pPr>
              <w:spacing w:after="0"/>
              <w:rPr>
                <w:sz w:val="21"/>
                <w:szCs w:val="21"/>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5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200" w:type="dxa"/>
            <w:vAlign w:val="bottom"/>
            <w:gridSpan w:val="3"/>
          </w:tcPr>
          <w:p>
            <w:pPr>
              <w:spacing w:after="0"/>
              <w:rPr>
                <w:sz w:val="21"/>
                <w:szCs w:val="21"/>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944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25</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944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880" w:type="dxa"/>
            <w:vAlign w:val="bottom"/>
            <w:tcBorders>
              <w:left w:val="single" w:sz="8" w:color="0000FF"/>
            </w:tcBorders>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44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PART II—OTHER INFORMATION</w:t>
            </w:r>
          </w:p>
        </w:tc>
        <w:tc>
          <w:tcPr>
            <w:tcW w:w="7340" w:type="dxa"/>
            <w:vAlign w:val="bottom"/>
            <w:gridSpan w:val="11"/>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2100" w:type="dxa"/>
            <w:vAlign w:val="bottom"/>
            <w:gridSpan w:val="8"/>
          </w:tcPr>
          <w:p>
            <w:pPr>
              <w:ind w:left="220"/>
              <w:spacing w:after="0"/>
              <w:rPr>
                <w:sz w:val="20"/>
                <w:szCs w:val="20"/>
                <w:color w:val="auto"/>
              </w:rPr>
            </w:pPr>
            <w:r>
              <w:rPr>
                <w:rFonts w:ascii="Times New Roman" w:cs="Times New Roman" w:eastAsia="Times New Roman" w:hAnsi="Times New Roman"/>
                <w:sz w:val="18"/>
                <w:szCs w:val="18"/>
                <w:color w:val="0000FF"/>
              </w:rPr>
              <w:t>Legal Proceedings</w:t>
            </w:r>
          </w:p>
        </w:tc>
        <w:tc>
          <w:tcPr>
            <w:tcW w:w="7340" w:type="dxa"/>
            <w:vAlign w:val="bottom"/>
            <w:gridSpan w:val="11"/>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120" w:type="dxa"/>
            <w:vAlign w:val="bottom"/>
          </w:tcPr>
          <w:p>
            <w:pPr>
              <w:spacing w:after="0"/>
              <w:rPr>
                <w:sz w:val="21"/>
                <w:szCs w:val="21"/>
                <w:color w:val="auto"/>
              </w:rPr>
            </w:pPr>
          </w:p>
        </w:tc>
        <w:tc>
          <w:tcPr>
            <w:tcW w:w="944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34</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Pr>
          <w:p>
            <w:pPr>
              <w:spacing w:after="0"/>
              <w:rPr>
                <w:sz w:val="21"/>
                <w:szCs w:val="21"/>
                <w:color w:val="auto"/>
              </w:rPr>
            </w:pPr>
          </w:p>
        </w:tc>
        <w:tc>
          <w:tcPr>
            <w:tcW w:w="944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944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0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44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460" w:type="dxa"/>
            <w:vAlign w:val="bottom"/>
            <w:gridSpan w:val="1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944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Other Information</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92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944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Exhibits</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to the "Company," "we," "our," or "us" in this report refer to Ocugen, Inc. and its subsidiaries, and references to "OpCo" refer to Ocugen OpCo, Inc., the Company's wholly owned subsidiary.</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facts contained in this Quarterly Report on Form 10-Q regarding our strategy, future operations, future financial position, future revenues, projected costs, prospects, plans, and objectives of management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"estimate," "expect," "intend," "may," "plan," "predict," "project," "will," "would,"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and those contained in our Annual Report on Form 10-K filed with the United States Securities and Exchange Commission ("SEC") on March 4, 2026 (the "2025 Annual Report") include, among other things, statements about:</w:t>
      </w:r>
    </w:p>
    <w:p>
      <w:pPr>
        <w:spacing w:after="0" w:line="162" w:lineRule="exact"/>
        <w:rPr>
          <w:sz w:val="20"/>
          <w:szCs w:val="20"/>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and capital requirements, as well as the timing, availability of, and the need for, additional financing to continue to advance our product candidates;</w:t>
      </w:r>
    </w:p>
    <w:p>
      <w:pPr>
        <w:jc w:val="both"/>
        <w:ind w:left="660" w:hanging="328"/>
        <w:spacing w:after="0" w:line="236" w:lineRule="auto"/>
        <w:tabs>
          <w:tab w:leader="none" w:pos="635"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our activities with respect to OCU400, OCU410 and OCU410ST, including our ability to continue our Phase 3 trial for OCU400 for the treatment of retinitis pigmentosa ("RP"), our ability to continue our Phase 2/3 pivotal confirmatory trial for OCU410ST for the treatment of Stargardt disease (“ST”), and our ability to complete pivotal trials;</w:t>
      </w:r>
    </w:p>
    <w:p>
      <w:pPr>
        <w:spacing w:after="0" w:line="90"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OCU400, OCU410 and OCU410ST, if approved;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from government agencies in the United States and/or other countries to continue the development of our inhaled mucosal vaccine platform;</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associated with the clinical development and regulatory approval of our product candidates including potential delays in the initiation, enrollment, and completion of current and future clinical trials;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our product candidates and preclinical programs being developed and anticipated to be developed, in light of inherent risks and difficulties involved in successfully commercializing products and the risk that our products, if approved, may not achieve broad market acceptance;</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schemes and other regulatory developments applicable to our business in the United States and other countries;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 parties upon which we depend, including contract development and manufacturing organizations ("CDMOs"), suppliers, manufacturers, group purchasing organizations, distributors, and logistics providers;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commercialized;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or obtain licenses to intellectual property and defend our intellectual property rights against third parties;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and contracts with our key collaborators and commercial partners and our ability to establish additional collaborations and partnerships;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scientific, technical, commercial, and management personnel and to retain our executive officers;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and expectations regarding cash, cash reserves and expense levels, future revenues, capital requirements and needs for additional financing, including our expected use of proceeds from our public offerings, and liquidity sources;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stringent United States and applicable foreign government regulations with respect to the manufacturing of pharmaceutical products, including compliance with current Good Manufacturing Practice ("GMP") regulations, and other relevant regulatory authorities;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laws and regulations or amendments to existing laws and regulations in the United States and foreign countries;</w:t>
      </w:r>
    </w:p>
    <w:p>
      <w:pPr>
        <w:spacing w:after="0" w:line="11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health epidemics and other outbreaks of communicable diseases, geopolitical turmoil, macroeconomic conditions, tariff policies, social unrest, political instability, terrorism, or acts of war could disrupt our business and operations, including impacts on our development programs, global supply chain, and collaborators and manufacturers;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discussed under the heading "Risk Factors" contained in this Quarterly Report on Form 10-Q in the 2025 Annual Report and in any other documents we have filed with the SEC.</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our 2025 Annual Report and in this Quarterly Report on Form 10-Q, particularly under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collaborations, investments, or other significant transactions we may make.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we have filed or incorporated by reference as exhibits to this Quarterly Report on Form 10-Q completely and with the understanding that our actual future results may be materially different from what we expect. Except as required by law, we do not assume any obligation to update any forward-looking statements.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relevant information. These statements are inherently uncertain and investors are cautioned not to unduly rely upon these statements. 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Solely for convenience, tradenames and trademarks referred to in this Quarterly Report on Form 10-Q appear without the ® or ™ symbols, but those references are not intended to indicate, in any way, that we will not assert, to the fullest extent under applicable law, our rights or that the applicable owners will not assert their rights, to these tradenames or trademarks, as applicable. All tradenames, trademarks, and service marks included or incorporated by reference in this Quarterly Report on Form 10-Q are the property of their respective owners. The name NeoCart has not been evaluated or cleared by the United States Food and Drug Administration ("FDA").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18,571</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24,340</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14,392</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14,733</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obligations, less current portion</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 term debt,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27,542</w:t>
            </w:r>
          </w:p>
        </w:tc>
        <w:tc>
          <w:tcPr>
            <w:tcW w:w="0" w:type="dxa"/>
            <w:vAlign w:val="bottom"/>
          </w:tcPr>
          <w:p>
            <w:pPr>
              <w:spacing w:after="0"/>
              <w:rPr>
                <w:sz w:val="1"/>
                <w:szCs w:val="1"/>
                <w:color w:val="auto"/>
              </w:rPr>
            </w:pPr>
          </w:p>
        </w:tc>
      </w:tr>
      <w:tr>
        <w:trPr>
          <w:trHeight w:val="270"/>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32,639</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55,682</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at March 31, 2026 and December 31, 2025</w:t>
            </w:r>
          </w:p>
        </w:tc>
        <w:tc>
          <w:tcPr>
            <w:tcW w:w="22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$0.01 par value; 390,000,000 shares authorized, 338,440,399 and 312,501,472 shares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338,318,899 and 312,379,972 shares outstanding at March 31, 2026 and December 31, 2025,</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 121,500 shares at March 31, 2026 and December 31, 2025</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392,763</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(408,067)</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(12,166)</w:t>
            </w:r>
          </w:p>
        </w:tc>
        <w:tc>
          <w:tcPr>
            <w:tcW w:w="0" w:type="dxa"/>
            <w:vAlign w:val="bottom"/>
          </w:tcPr>
          <w:p>
            <w:pPr>
              <w:spacing w:after="0"/>
              <w:rPr>
                <w:sz w:val="1"/>
                <w:szCs w:val="1"/>
                <w:color w:val="auto"/>
              </w:rPr>
            </w:pPr>
          </w:p>
        </w:tc>
      </w:tr>
      <w:tr>
        <w:trPr>
          <w:trHeight w:val="223"/>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43,516</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940" w:type="dxa"/>
            <w:vAlign w:val="bottom"/>
            <w:gridSpan w:val="4"/>
          </w:tcPr>
          <w:p>
            <w:pPr>
              <w:jc w:val="right"/>
              <w:ind w:right="11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65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90"/>
        </w:trPr>
        <w:tc>
          <w:tcPr>
            <w:tcW w:w="65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Collaborative arrangement revenue</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r>
      <w:tr>
        <w:trPr>
          <w:trHeight w:val="22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9,529</w:t>
            </w:r>
          </w:p>
        </w:tc>
      </w:tr>
      <w:tr>
        <w:trPr>
          <w:trHeight w:val="229"/>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w:t>
            </w:r>
          </w:p>
        </w:tc>
      </w:tr>
      <w:tr>
        <w:trPr>
          <w:trHeight w:val="223"/>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15,982</w:t>
            </w:r>
          </w:p>
        </w:tc>
      </w:tr>
      <w:tr>
        <w:trPr>
          <w:trHeight w:val="22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(14,501)</w:t>
            </w:r>
          </w:p>
        </w:tc>
      </w:tr>
      <w:tr>
        <w:trPr>
          <w:trHeight w:val="229"/>
        </w:trPr>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30"/>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29"/>
        </w:trPr>
        <w:tc>
          <w:tcPr>
            <w:tcW w:w="6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5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2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(15,350)</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97"/>
        </w:trPr>
        <w:tc>
          <w:tcPr>
            <w:tcW w:w="6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5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30"/>
        </w:trPr>
        <w:tc>
          <w:tcPr>
            <w:tcW w:w="6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(15,358)</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(15,350)</w:t>
            </w:r>
          </w:p>
        </w:tc>
      </w:tr>
      <w:tr>
        <w:trPr>
          <w:trHeight w:val="229"/>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shares used in calculating net loss per common share — basic and diluted</w:t>
            </w: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327,543,855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291,996,562</w:t>
            </w: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 basic and diluted</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3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3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gridSpan w:val="6"/>
          </w:tcPr>
          <w:p>
            <w:pPr>
              <w:ind w:left="340"/>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4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3"/>
            <w:vMerge w:val="restart"/>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vMerge w:val="restart"/>
          </w:tcPr>
          <w:p>
            <w:pPr>
              <w:spacing w:after="0"/>
              <w:rPr>
                <w:sz w:val="5"/>
                <w:szCs w:val="5"/>
                <w:color w:val="auto"/>
              </w:rPr>
            </w:pPr>
          </w:p>
        </w:tc>
        <w:tc>
          <w:tcPr>
            <w:tcW w:w="1080" w:type="dxa"/>
            <w:vAlign w:val="bottom"/>
            <w:gridSpan w:val="4"/>
            <w:vMerge w:val="restart"/>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vMerge w:val="restart"/>
          </w:tcPr>
          <w:p>
            <w:pPr>
              <w:spacing w:after="0"/>
              <w:rPr>
                <w:sz w:val="5"/>
                <w:szCs w:val="5"/>
                <w:color w:val="auto"/>
              </w:rPr>
            </w:pPr>
          </w:p>
        </w:tc>
        <w:tc>
          <w:tcPr>
            <w:tcW w:w="960" w:type="dxa"/>
            <w:vAlign w:val="bottom"/>
            <w:gridSpan w:val="3"/>
            <w:vMerge w:val="restart"/>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460" w:type="dxa"/>
            <w:vAlign w:val="bottom"/>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4"/>
                <w:szCs w:val="4"/>
                <w:color w:val="auto"/>
              </w:rPr>
            </w:pP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460" w:type="dxa"/>
            <w:vAlign w:val="bottom"/>
            <w:tcBorders>
              <w:top w:val="single" w:sz="8" w:color="CCEEFF"/>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Balance at December</w:t>
            </w:r>
          </w:p>
        </w:tc>
        <w:tc>
          <w:tcPr>
            <w:tcW w:w="820" w:type="dxa"/>
            <w:vAlign w:val="bottom"/>
            <w:tcBorders>
              <w:top w:val="single" w:sz="8" w:color="auto"/>
            </w:tcBorders>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312,501,472</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w:t>
            </w: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392,763</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(408,067)</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(12,166)</w:t>
            </w:r>
          </w:p>
        </w:tc>
        <w:tc>
          <w:tcPr>
            <w:tcW w:w="0" w:type="dxa"/>
            <w:vAlign w:val="bottom"/>
          </w:tcPr>
          <w:p>
            <w:pPr>
              <w:spacing w:after="0"/>
              <w:rPr>
                <w:sz w:val="1"/>
                <w:szCs w:val="1"/>
                <w:color w:val="auto"/>
              </w:rPr>
            </w:pPr>
          </w:p>
        </w:tc>
      </w:tr>
      <w:tr>
        <w:trPr>
          <w:trHeight w:val="200"/>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gridSpan w:val="2"/>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2,061</w:t>
            </w:r>
          </w:p>
        </w:tc>
        <w:tc>
          <w:tcPr>
            <w:tcW w:w="0" w:type="dxa"/>
            <w:vAlign w:val="bottom"/>
          </w:tcPr>
          <w:p>
            <w:pPr>
              <w:spacing w:after="0"/>
              <w:rPr>
                <w:sz w:val="1"/>
                <w:szCs w:val="1"/>
                <w:color w:val="auto"/>
              </w:rPr>
            </w:pPr>
          </w:p>
        </w:tc>
      </w:tr>
      <w:tr>
        <w:trPr>
          <w:trHeight w:val="23"/>
        </w:trPr>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4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 for stock option</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exercises and</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stock unit</w:t>
            </w:r>
          </w:p>
        </w:tc>
        <w:tc>
          <w:tcPr>
            <w:tcW w:w="82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938,927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8"/>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net</w:t>
            </w: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for capital raises,</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15,000,000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20,721</w:t>
            </w:r>
          </w:p>
        </w:tc>
        <w:tc>
          <w:tcPr>
            <w:tcW w:w="0" w:type="dxa"/>
            <w:vAlign w:val="bottom"/>
          </w:tcPr>
          <w:p>
            <w:pPr>
              <w:spacing w:after="0"/>
              <w:rPr>
                <w:sz w:val="1"/>
                <w:szCs w:val="1"/>
                <w:color w:val="auto"/>
              </w:rPr>
            </w:pPr>
          </w:p>
        </w:tc>
      </w:tr>
      <w:tr>
        <w:trPr>
          <w:trHeight w:val="23"/>
        </w:trPr>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w:t>
            </w: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upon exercise of</w:t>
            </w: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82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10,000,000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14,075</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14,175</w:t>
            </w:r>
          </w:p>
        </w:tc>
        <w:tc>
          <w:tcPr>
            <w:tcW w:w="0" w:type="dxa"/>
            <w:vAlign w:val="bottom"/>
          </w:tcPr>
          <w:p>
            <w:pPr>
              <w:spacing w:after="0"/>
              <w:rPr>
                <w:sz w:val="1"/>
                <w:szCs w:val="1"/>
                <w:color w:val="auto"/>
              </w:rPr>
            </w:pPr>
          </w:p>
        </w:tc>
      </w:tr>
      <w:tr>
        <w:trPr>
          <w:trHeight w:val="180"/>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3"/>
        </w:trPr>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(19,177)</w:t>
            </w:r>
          </w:p>
        </w:tc>
        <w:tc>
          <w:tcPr>
            <w:tcW w:w="0" w:type="dxa"/>
            <w:vAlign w:val="bottom"/>
          </w:tcPr>
          <w:p>
            <w:pPr>
              <w:spacing w:after="0"/>
              <w:rPr>
                <w:sz w:val="1"/>
                <w:szCs w:val="1"/>
                <w:color w:val="auto"/>
              </w:rPr>
            </w:pPr>
          </w:p>
        </w:tc>
      </w:tr>
      <w:tr>
        <w:trPr>
          <w:trHeight w:val="158"/>
        </w:trPr>
        <w:tc>
          <w:tcPr>
            <w:tcW w:w="1460" w:type="dxa"/>
            <w:vAlign w:val="bottom"/>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Balance at March 31,</w:t>
            </w:r>
          </w:p>
        </w:tc>
        <w:tc>
          <w:tcPr>
            <w:tcW w:w="820" w:type="dxa"/>
            <w:vAlign w:val="bottom"/>
            <w:tcBorders>
              <w:top w:val="single" w:sz="8" w:color="auto"/>
            </w:tcBorders>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338,440,399</w:t>
            </w:r>
          </w:p>
        </w:tc>
        <w:tc>
          <w:tcPr>
            <w:tcW w:w="8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3,384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429,549</w:t>
            </w:r>
          </w:p>
        </w:tc>
        <w:tc>
          <w:tcPr>
            <w:tcW w:w="80" w:type="dxa"/>
            <w:vAlign w:val="bottom"/>
          </w:tcPr>
          <w:p>
            <w:pPr>
              <w:spacing w:after="0"/>
              <w:rPr>
                <w:sz w:val="13"/>
                <w:szCs w:val="13"/>
                <w:color w:val="auto"/>
              </w:rPr>
            </w:pPr>
          </w:p>
        </w:tc>
        <w:tc>
          <w:tcPr>
            <w:tcW w:w="1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(427,244)</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5,805</w:t>
            </w:r>
          </w:p>
        </w:tc>
        <w:tc>
          <w:tcPr>
            <w:tcW w:w="0" w:type="dxa"/>
            <w:vAlign w:val="bottom"/>
          </w:tcPr>
          <w:p>
            <w:pPr>
              <w:spacing w:after="0"/>
              <w:rPr>
                <w:sz w:val="1"/>
                <w:szCs w:val="1"/>
                <w:color w:val="auto"/>
              </w:rPr>
            </w:pPr>
          </w:p>
        </w:tc>
      </w:tr>
      <w:tr>
        <w:trPr>
          <w:trHeight w:val="200"/>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2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gridSpan w:val="2"/>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gridSpan w:val="2"/>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gridSpan w:val="2"/>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gridSpan w:val="2"/>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3"/>
            <w:vMerge w:val="restart"/>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5"/>
                <w:szCs w:val="5"/>
                <w:color w:val="auto"/>
              </w:rPr>
            </w:pPr>
          </w:p>
        </w:tc>
        <w:tc>
          <w:tcPr>
            <w:tcW w:w="1080" w:type="dxa"/>
            <w:vAlign w:val="bottom"/>
            <w:gridSpan w:val="4"/>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5"/>
                <w:szCs w:val="5"/>
                <w:color w:val="auto"/>
              </w:rPr>
            </w:pPr>
          </w:p>
        </w:tc>
        <w:tc>
          <w:tcPr>
            <w:tcW w:w="960" w:type="dxa"/>
            <w:vAlign w:val="bottom"/>
            <w:gridSpan w:val="3"/>
            <w:vMerge w:val="restart"/>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4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46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b w:val="1"/>
                <w:bCs w:val="1"/>
                <w:color w:val="auto"/>
              </w:rPr>
              <w:t>Balance at December</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291,489,058</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366,938</w:t>
            </w:r>
          </w:p>
        </w:tc>
        <w:tc>
          <w:tcPr>
            <w:tcW w:w="80" w:type="dxa"/>
            <w:vAlign w:val="bottom"/>
            <w:shd w:val="clear" w:color="auto" w:fill="CCEEFF"/>
          </w:tcPr>
          <w:p>
            <w:pPr>
              <w:spacing w:after="0"/>
              <w:rPr>
                <w:sz w:val="10"/>
                <w:szCs w:val="10"/>
                <w:color w:val="auto"/>
              </w:rPr>
            </w:pPr>
          </w:p>
        </w:tc>
        <w:tc>
          <w:tcPr>
            <w:tcW w:w="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(340,221)</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29,632</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gridSpan w:val="2"/>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w:t>
            </w:r>
          </w:p>
        </w:tc>
        <w:tc>
          <w:tcPr>
            <w:tcW w:w="2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1,885</w:t>
            </w:r>
          </w:p>
        </w:tc>
        <w:tc>
          <w:tcPr>
            <w:tcW w:w="0" w:type="dxa"/>
            <w:vAlign w:val="bottom"/>
          </w:tcPr>
          <w:p>
            <w:pPr>
              <w:spacing w:after="0"/>
              <w:rPr>
                <w:sz w:val="1"/>
                <w:szCs w:val="1"/>
                <w:color w:val="auto"/>
              </w:rPr>
            </w:pPr>
          </w:p>
        </w:tc>
      </w:tr>
      <w:tr>
        <w:trPr>
          <w:trHeight w:val="195"/>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4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 for stock option</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exercises and restricted</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660,917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192"/>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unit vesting, net</w:t>
            </w: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3"/>
        </w:trPr>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(15,350)</w:t>
            </w:r>
          </w:p>
        </w:tc>
        <w:tc>
          <w:tcPr>
            <w:tcW w:w="0" w:type="dxa"/>
            <w:vAlign w:val="bottom"/>
          </w:tcPr>
          <w:p>
            <w:pPr>
              <w:spacing w:after="0"/>
              <w:rPr>
                <w:sz w:val="1"/>
                <w:szCs w:val="1"/>
                <w:color w:val="auto"/>
              </w:rPr>
            </w:pPr>
          </w:p>
        </w:tc>
      </w:tr>
      <w:tr>
        <w:trPr>
          <w:trHeight w:val="115"/>
        </w:trPr>
        <w:tc>
          <w:tcPr>
            <w:tcW w:w="146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Balance at March 31,</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292,149,975</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2,922</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368,571</w:t>
            </w:r>
          </w:p>
        </w:tc>
        <w:tc>
          <w:tcPr>
            <w:tcW w:w="80" w:type="dxa"/>
            <w:vAlign w:val="bottom"/>
          </w:tcPr>
          <w:p>
            <w:pPr>
              <w:spacing w:after="0"/>
              <w:rPr>
                <w:sz w:val="10"/>
                <w:szCs w:val="10"/>
                <w:color w:val="auto"/>
              </w:rPr>
            </w:pPr>
          </w:p>
        </w:tc>
        <w:tc>
          <w:tcPr>
            <w:tcW w:w="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(355,571)</w:t>
            </w:r>
          </w:p>
        </w:tc>
        <w:tc>
          <w:tcPr>
            <w:tcW w:w="8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15,914</w:t>
            </w:r>
          </w:p>
        </w:tc>
        <w:tc>
          <w:tcPr>
            <w:tcW w:w="0" w:type="dxa"/>
            <w:vAlign w:val="bottom"/>
          </w:tcPr>
          <w:p>
            <w:pPr>
              <w:spacing w:after="0"/>
              <w:rPr>
                <w:sz w:val="1"/>
                <w:szCs w:val="1"/>
                <w:color w:val="auto"/>
              </w:rPr>
            </w:pPr>
          </w:p>
        </w:tc>
      </w:tr>
      <w:tr>
        <w:trPr>
          <w:trHeight w:val="175"/>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(19,177)</w:t>
            </w:r>
          </w:p>
        </w:tc>
        <w:tc>
          <w:tcPr>
            <w:tcW w:w="100" w:type="dxa"/>
            <w:vAlign w:val="bottom"/>
          </w:tcPr>
          <w:p>
            <w:pPr>
              <w:spacing w:after="0"/>
              <w:rPr>
                <w:sz w:val="19"/>
                <w:szCs w:val="19"/>
                <w:color w:val="auto"/>
              </w:rPr>
            </w:pP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(15,350)</w:t>
            </w: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7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9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expense from collaborative arrangements, net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w:t>
            </w: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r>
      <w:tr>
        <w:trPr>
          <w:trHeight w:val="230"/>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Lease obligations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(19,357)</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long term deposits</w:t>
            </w: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warrants</w:t>
            </w:r>
          </w:p>
        </w:tc>
        <w:tc>
          <w:tcPr>
            <w:tcW w:w="9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exercise of equity awards, net</w:t>
            </w:r>
          </w:p>
        </w:tc>
        <w:tc>
          <w:tcPr>
            <w:tcW w:w="9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equity issuance costs</w:t>
            </w:r>
          </w:p>
        </w:tc>
        <w:tc>
          <w:tcPr>
            <w:tcW w:w="9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warrant issuance costs</w:t>
            </w:r>
          </w:p>
        </w:tc>
        <w:tc>
          <w:tcPr>
            <w:tcW w:w="9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EB-5 loan</w:t>
            </w: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9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34,984</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changes in exchange rate on cash and restricted cash</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restricted cash</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(20,712)</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restricted cash at beginning of period</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18,887</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58,821</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restricted cash at end of period</w:t>
            </w:r>
          </w:p>
        </w:tc>
        <w:tc>
          <w:tcPr>
            <w:tcW w:w="980" w:type="dxa"/>
            <w:vAlign w:val="bottom"/>
            <w:tcBorders>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transactions: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 related to operating leases</w:t>
            </w:r>
          </w:p>
        </w:tc>
        <w:tc>
          <w:tcPr>
            <w:tcW w:w="980" w:type="dxa"/>
            <w:vAlign w:val="bottom"/>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w:t>
      </w:r>
    </w:p>
    <w:p>
      <w:pPr>
        <w:spacing w:after="0" w:line="200" w:lineRule="exact"/>
        <w:rPr>
          <w:sz w:val="20"/>
          <w:szCs w:val="20"/>
          <w:color w:val="auto"/>
        </w:rPr>
      </w:pPr>
    </w:p>
    <w:p>
      <w:pPr>
        <w:spacing w:after="0" w:line="2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Ocugen, Inc., together with its wholly owned subsidiaries ("Ocugen" or the "Company"), is a biotechnology company, focused on discovering, developing, and commercializing novel gene therapies that improve health and offer hope for patients across the globe. The Company is headquartered in Malvern, Pennsylvania, and manages its business as one operating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incurred recurring net losses since inception and has funded its operations to date through the sale of common stock, warrants to purchase common stock, the issuance of convertible notes and debt, and grant proceeds. The Company incurred net losses of approximately $19.2 million and $15.4 million for the three months ended March 31, 2026 and 2025, respectively. As of March 31, 2026, the Company had an accumulated deficit of $427.2 million and cash totaling $31.9 million. This amount will not be sufficient to fund the Company's operations over the next 12 months after the date that the condensed consolidated financial statements are issued.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Company intends to continue its research, development, and commercialization efforts for its product candidates, it will require significant additional funding. If the Company is unable to obtain additional funding in the future and/or its research, development, and commercialization efforts require higher than anticipated capital, there will be a negative impact on the financial viability of the Company. The Company will continue to explore options to fund its operations through public and private placements of equity and/or debt, payments from potential strategic research and development arrangements, sales of assets, licensing and/or collaboration arrangements with pharmaceutical companies or other institutions, funding from the government, or funding from other third parties. Such financing and funding may not be available at all, or on terms that are favorable to the Company. While management believes that it has a plan to fund operations, its plan may not be successfully implemented. If the Company cannot obtain the necessary funding, it will need to delay, scale back, or eliminate some or all of its research and development programs and commercialization efforts; consider other various strategic alternatives, including a merger or sale; or cease operations.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2026, the Company raised an additional $20.7 million in net proceeds through a underwritten registered direct offering of common shares. In March 2026, investors partially exercised outstanding warrants, resulting in $14.2 million in net proceeds for the Company. Although these capital infusions have strengthened the Company’s liquidity, management maintains that, according to the current operational strategies and forecasts, further funding will be necessary to fulfill obligations and continue operating for at least the next twelve months after the condensed consolidated financial statements are issued.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these factors, together with the anticipated continued spending that will be necessary to continue to research, develop, and commercialize the Company's product candidates, there is substantial doubt about the Company's ability to continue as a going concern within one year after the date that these condensed consolidated financial statements are issued. The condensed consolidated financial statements do not contain any adjustments that might result from the resolution of any of the above uncertainties.</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included herein have been prepared in conformity with generally accepted accounting principles in the United States ("GAAP") and under the rules and regulations of the United States Securities and Exchange Commission ("SEC") for interim reporting. The accompanying unaudited condensed consolidated financial statements include all adjustments, consisting of normal recurring adjustments, necessary for a fair statement of the Company's financial position, results of operations, and cash flows. The condensed consolidated results of operations are not necessarily indicative of the results that may occur for the full fiscal year. Certain information and footnote disclosures of the Company normally included in the financial statements prepared in accordance with GAAP have been condensed or omitted under the SEC's rules and regulations. These condensed consolidated financial statements should be read in conjunction with the audited financial statements and accompanying notes thereto for the year ended December 31, 2025, included in the Company's Annual Report on Form 10-K filed with the SEC on March 4, 2026 (the "2025 Annual Report"). The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condensed consolidated financial statements include the accounts of Ocugen and its wholly owned subsidiaries. All intercompany balances and transactions have been eliminated in consolidation.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year presentation of our condensed consolidated financial statements. These reclassification had no effect on the reported results of operations and ending shareholders' equity.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policies of the Company, as applied in the condensed consolidated financial statements presented herein, are substantially the same as presented in the Company’s 2025 Form 10-K filed on March 4, 2026, except as may be indicated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preparing the condensed consolidated financial statements in conformity with GAAP, management is required to make estimates and assumptions that affect the reported amounts of assets and liabilities and disclosure of contingent assets and liabilities at the date of the financial statements, as well as the reported amounts of expenses during the reporting period. Due to the inherent uncertainty involved in making estimates, actual results reported in future periods may be affected by changes in these estimates. On an ongoing basis, the Company evaluates its estimates and assumptions. These estimates and assumptions include those used in the accounting for research and development contracts, including clinical trial accruals, determination of the collaborative arrangements' transaction price, calculating the progress towards the satisfaction of the performance obligations under the collaborative arrangements, and determining the value of the non-cash consideration received under collaborative arrangements.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viewed its operations and managed its business as one operating segment consistent with how the Company's chief operating decision-maker, the Company's Chief Executive Officer, makes decisions regarding resource allocation and assesses performance. As of March 31, 2026, substantially all of the Company's assets were located in the United States. Refer to Note 15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considers all highly liquid investments that have maturities of three months or less when acquired to be cash equivalents. Cash equivalents may include bank demand deposits and money market funds that invest primarily in certificates of deposit, commercial paper, and U.S. government agency securities and treasuries. The Company records interest income received on its cash and cash equivalents to other income (expense), net in the condensed consolidated statements of operations and comprehensive loss. The Company recorded $0.1 million and $0.3 million as interest income for the three months ended March 31, 2026 and 2025, respectively. The Company's restricted cash balance as of March 31, 2026 consisted of cash held to collateralize a corporate credit card account and a line of credit related to an operating lease in the event of a payment default.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restricted cash from the condensed consolidated balance sheets to the total amount shown in the condensed consolidated statements of cash flows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40" w:type="dxa"/>
            <w:vAlign w:val="bottom"/>
            <w:gridSpan w:val="3"/>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80" w:type="dxa"/>
            <w:vAlign w:val="bottom"/>
          </w:tcPr>
          <w:p>
            <w:pPr>
              <w:spacing w:after="0"/>
              <w:rPr>
                <w:sz w:val="16"/>
                <w:szCs w:val="16"/>
                <w:color w:val="auto"/>
              </w:rPr>
            </w:pPr>
          </w:p>
        </w:tc>
      </w:tr>
      <w:tr>
        <w:trPr>
          <w:trHeight w:val="23"/>
        </w:trPr>
        <w:tc>
          <w:tcPr>
            <w:tcW w:w="7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71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6"/>
                <w:szCs w:val="16"/>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7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37,800</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27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27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38,109</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the provisions of Financial Accounting Standards Board ("FASB") 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820"),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quoted prices for similar assets and liabilities in active markets or inputs that are observable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inputs that are unobservable (for example, cash flow modeling inputs based on assumptions)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value of certain financial instruments, including cash and cash equivalents, accounts payable, and accrued expenses, approximates their fair value due to the short-term nature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and restricted cash. The Company's cash and restricted cash are held in accounts at financial institutions that may exceed federally insured limits. The Company has not experienced any credit losses in such accounts and does not believe it is exposed to significant credit risk beyond the standard credit risk associated with commercial banking relationships.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 The Company's lease agreements include lease and non-lease components, which the Company has elected not to account for separately for all classes of underlying assets. Lease expense for variable lease components is recognized when the obligation is probable.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currently leases real estate classified as operating leases. Operating leases are included in other assets and operating lease obligations in the Company's consolidated balance sheets. At lease commencement, the Company records a lease liability based on the present value of the lease payments over the expected lease term including any options to extend the lease that the Company is reasonably certain to exercise and records a corresponding right-of-use lease asset based on the lease liability, adjusted for any lease incentives received and any initial direct costs paid to the lessor prior to the lease commencement date. Lease expense is recognized on a straight-line basis over the lease term and recognized as research and development expense or general and administrative expense based on the underlying nature of the expense.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requires a lessee to discount its unpaid lease payments using the interest rate implicit in the lease or, if that rate cannot be readily determined, its incremental borrowing rate. The implicit interest rates were not readily determinable in the Company's current operating leases. As such, the incremental borrowing rates were used based on the information available at the commencement dates in determining the present value of lease payments.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term for the Company's leases includes the non-cancellable period of the lease plus any additional periods covered by either an option to extend (or not to terminate) the lease that the Company is reasonably certain to exercise, or an option to extend (or not to terminate) the lease controlled by the lessor.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 payments included in the measurement of the lease liability are comprised of fixed payments, variable payments that depend on an index or rate, and amounts probable to be payable under the exercise of an option to purchase the underlying asset if reasonably certain.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Variable payments not dependent on an index or rate and variable payments recognized if the index or rate changes that are associated with the Company's leases are recognized when the event, activity, or circumstance is probable. Variable payments include the Company's proportionate share of certain utilities and other operating expenses and are presented as operating expenses in the Company's condensed consolidated statements of operations and comprehensive loss in the same line item as expense arising from fixed lease payments.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Assets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its assets, including property and equipment, for impairment whenever changes in circumstances or events may indicate that the carrying amounts are not recoverable. These indicators include, but are not limited to, a significant change in the extent or manner in which an asset is used or its physical condition, a significant decrease in the market price of an asset, or a significant adverse change in the business or the industry that could affect the value of an asset. An asset is tested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impairment by comparing the net carrying value of the asset to the undiscounted net cash flows to be generated from the use and eventual disposition of the asset.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awards in accordance with FASB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The Company has issued stock-based compensation awards including stock options, restricted stock units ("RSUs"), both performance-condition based and market-condition based restricted stock units ("PSUs"), and also accounts for certain issuances of preferred stock and warrants in accordance with ASC 718. ASC 718 requires all stock-based payments, including grants of stock options, RSUs, and PSUs, to be recognized in the condensed consolidated statements of operations and comprehensive loss based on their grant date fair values. The Company uses the Black-Scholes option-pricing model to determine the fair value of stock options granted. For RSUs, and the performance-condition based PSUs, the fair value of the RSU or PSU is determined by the market price of a share of the Company's common stock on the grant date. For market-based PSUs, the Company estimates grant-date fair value using a Monte Carlo simulation model. The Company recognizes forfeitures as they occur.</w:t>
      </w:r>
    </w:p>
    <w:p>
      <w:pPr>
        <w:spacing w:after="0" w:line="20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Expense related to stock-based compensation awards granted with service-based vesting conditions is recognized on a straight-line basis based on the grant date fair value over the associated service period of the award, which is generally the vesting term. Stock-based compensation awards generally vest over a one-to-three year requisite service period. Stock options have a contractual term of 10 years. Expense for stock-based compensation awards with performance-based vesting conditions is only recognized when the performance-based vesting condition is deemed probable to occur. Expense for stock-based compensation awards with market-based and service-based vesting conditions is recognized ratably over the grantee's requisite service period. Compensation cost is not adjusted based on the actual achievement of the market-based performance goals. Expense for stock-based compensation awards with performance condition based and service-based vesting conditions is recognized ratably over the grantee's requisite service period when it is considered probable that the performance condition will be satisfied. Expense related to stock-based compensation awards are recorded to research and development expense or general and administrative expense based on the underlying function of the individual that was granted the stock-based compensation award. Shares issued upon stock option exercise, PSU and RSU vesting are newly issued common shares.</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Estimating the fair value of stock options requires the input of subjective assumptions, including the expected term of the stock option, stock price volatility, the risk-free interest rate, and expected dividends. Estimating the fair value of PSUs requires the input of subjective assumptions, including stock price volatility, total shareholder return ("TSR") ranking, the risk-free rate, and expected dividends. The assumptions used in the Company's Black-Scholes option-pricing model and Monte Carlo simulation technique represent management's best estimates and involve a number of variables, uncertainties, assumptions, and the application of management's judgment, as they are inherently subjective. If any assumptions change, the Company's stock-based compensation expense could be materially different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in the Company's Black-Scholes option-pricing model for stock options and in the Company's Monte Carlo simulation technique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are as follows, unless noted otherwise:</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As the Company does not have sufficient historical exercise data to provide a reasonable basis upon which to estimate expected term,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of employee stock options subject to service-based vesting conditions is determined using the "simplified" method, whereby the expected term equals the arithmetic average of the vesting term and the original contractual term of the stock option. This expected term assumption is not an assumption used in the Company's Monte Carlo simulation technique for PSUs. The expected term of the PSUs is equal to the performance period of the PSUs.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volatility is based on historical volatilities of the Company and similar entities within the Company's industry for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commensurate with the assumed expected term.</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interest rate payable on U.S. Treasury securities in effect at the time of grant for a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commensurate with the assumed expected term.</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Dividends. </w:t>
      </w:r>
      <w:r>
        <w:rPr>
          <w:rFonts w:ascii="Times New Roman" w:cs="Times New Roman" w:eastAsia="Times New Roman" w:hAnsi="Times New Roman"/>
          <w:sz w:val="18"/>
          <w:szCs w:val="18"/>
          <w:color w:val="auto"/>
        </w:rPr>
        <w:t>The expected dividend yield is 0% because the Company has not historically paid, and does not expect for the foreseeable future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 a dividend on its common stock.</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TSR ranking. </w:t>
      </w:r>
      <w:r>
        <w:rPr>
          <w:rFonts w:ascii="Times New Roman" w:cs="Times New Roman" w:eastAsia="Times New Roman" w:hAnsi="Times New Roman"/>
          <w:sz w:val="18"/>
          <w:szCs w:val="18"/>
          <w:color w:val="auto"/>
        </w:rPr>
        <w:t>The Company's TSR, over a three-year period, is relative to the TSR, for that same period, as related to other companies within the Nasdaq</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Biotechnology index. This assumption is only used for the market-based PSUs.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 and Revenue Recognition</w:t>
      </w:r>
    </w:p>
    <w:p>
      <w:pPr>
        <w:spacing w:after="0" w:line="2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The Company analyzes its collaborative arrangements to assess whether they are within the scope of FASB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to determine whether such arrangements involve joint operating activities performed by parties that are both active participants in the activities and exposed to significant risks and rewards. This assessment is performed throughout the life of the arrangements based on changes to the arrangements. For collaborative arrangements within the scope of ASC 808 the Company may analogize to FASB ASC Topic 606, Revenue from Contracts with Customers ("ASC 606") for certain elements.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 identifies the goods or services promised within each collaborative arrangement and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and (ii) the entity’s promise to transfer the good or service to the customer is separately identifiable from other promises in the contract.</w:t>
      </w:r>
    </w:p>
    <w:p>
      <w:pPr>
        <w:spacing w:after="0" w:line="21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allocation of the transaction price to the performance obligations in proportion to their standalone selling prices is determined at contract inception. 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w:t>
      </w:r>
    </w:p>
    <w:p>
      <w:pPr>
        <w:spacing w:after="0" w:line="2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determining the transaction price, the Company adjusts consideration for the effects of the time value of money if the timing of payments provides the Company with a significant benefit of financing. The Company does not assess whether a contract has a significant financing component if the expectation at contract inception is such that the period between payment by the counterparty and the transfer of the promised goods or services to the counterparty will be one year or less. The Company assessed its collaboration arrangements in order to determine whether a significant financing component exists and concluded that a significant financing component does not exist in any of its arrangements.</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recognizes as collaboration revenue the amount of the transaction price that is allocated to the respective performance obligation as each performance obligation is satisfied over time, with progress toward completion measured based on actual costs incurred relative to total estimated costs to be incurred over the life of the arrangement. Significant management judgment is required in determining the level of effort required under an arrangement and the period over which the Company is expected to complete their performance obligations under the arrangements and in determining the estimated market value of the co-development services included in the transaction price. The Company evaluates the measure of progress each reporting period and, if necessary, adjusts the measure of performance and related revenue recognition. Adjustments to original estimates will be required as work progresses and additional information becomes known, even though the scope of the work required under the contract may not change. Any adjustment as a result of a change in estimates is made when facts develop, events become known, or an adjustment is otherwise warranted.</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Under the Company’s collaborative arrangements, the timing of revenue recognition and receipt of consideration may differ, and result in assets and liabilities. Assets represent revenues recognized in excess of the consideration received under collaborative arrangement. Liabilities represent the consideration received in excess of revenues recognized under collaborative arrangement.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ASU 2024-04, Debt with Conversion and Other Options (Subtopic 470-20): Induced Conversions of Convertible Debt Instruments. In November 2024, the FASB issued ASU 2024-04, which clarifies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adopted this standard effective January 1, 2026 on a prospective basis. As the Company does not have any convertible debt instruments within the scope of this guidance, the adoption of ASU 2024-04 was not applicable and did not have an impact on its consolidated financial statements or results of operations.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July 2025, the Financial Accounting Standards Board (“FASB”) issued Accounting Standards Update (“ASU”) 2025-05, Financial Instruments—Credit Losses (Topic 326): Measurement of Credit Losses for Accounts Receivable and Contract Assets, which amends the guidance for estimating expected credit losses on accounts receivable and contract assets, requiring entities to apply a current expected credit loss model. This guidance will be effective for annual periods beginning after December 15, 2025 and for interim periods thereafter. The new standard permits early adoption and can be applied prospectively or retrospectively. The Company adopted this standard effective January 1, 2026 on a prospective basis. As the Company does not have any accounts receivable or contract assets within the scope of this guidance, the adoption of ASU 2025-05 was not applicable and did not have an impact on its consolidated financial statements or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(ASU 2024-03). The new guidance requires disaggregated information about certain income statement expense line items on an annual and interim basis. This guidance will be effective for annual periods beginning the year ended December 31, 2027 and for interim periods thereafter. The new standard permits early adoption and can be applied prospectively or retrospectively. We are evaluating the effect that this guidance will have on our consolidated financial statements and related disclosures.</w:t>
      </w: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December 2025, the FASB issued ASU No. 2025-11, Interim Reporting (Topic 270): Narrow-Scope Improvements. The ASU clarifies interim disclosure requirements and the applicability of Topic 270. The objective of the amendments is to provide further clarity about the current interim disclosure requirements. The ASU is effective for interim reporting periods within annual reporting periods beginning after December 15, 2027. Adoption of this ASU can be applied either a prospective or a retrospective approach. Early adoption is permitted. We are currently evaluating the provisions of this ASU and do not expect this ASU to have a material impact on our consolidated financial statements.</w:t>
      </w: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December 2025, the FASB issued ASU No. 2025-12, Codification Improvements. The ASU addresses thirty-three items, representing the changes to the Codification that (1) clarify, (2) correct errors, or (3) make minor improvements. Generally, the amendments in this Update are not intended to result in significant changes for most entities. The ASU is effective for interim reporting periods within annual reporting periods beginning after December 15, 2026. The adoption method of this ASU may vary, on an issue-by-issue basis. Early adoption is permitted. We are currently evaluating the provisions of this ASU and do not expect this ASU to have a material impact on our consolidated financial statements.</w:t>
      </w:r>
    </w:p>
    <w:p>
      <w:pPr>
        <w:spacing w:after="0" w:line="177"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and Development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Co-Development and Commercialization Agreement with CanSino Biologics, Inc.</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 co-development and commercialization agreement with our collaboration partner CanSino Biologics, Inc. ("CanSinoBIO") with respect to the development and commercialization of the Company's modifier gene therapy product candidates, OCU400, OCU410, and OCU410ST. The co-development and commercialization agreement was originally entered into in September 2019 ("the Original CanSinoBIO Agreement") with regards to OCU400 and was subsequently amended in September 2021 and November 2022 ("the Amendments"), to include OCU410 and OCU410ST, respectively. The Company concluded that the Original CanSinoBIO Agreement and the Amendments are separate agreements (collectively referred to as the "CanSinoBIO Agreements"). Pursuant to the CanSinoBIO Agreements, the Company and CanSinoBIO are collaborating on the development of the Company's modifier gene therapy platform. CanSinoBIO is responsible for the chemistry, manufacturing, and controls development and manufacture of clinical supplies of such products and is responsible for the costs associated with such activities. CanSinoBIO has an exclusive license to develop, manufacture, and commercialize the Company's modifier gene therapy platform in and for the CanSinoBIO Territory, and the Company maintains exclusive development, manufacturing, and commercialization rights with respect to the Company's modifier gene therapy platform outside the Company Territory.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any of the product candidates be commercialized in the CanSinoBIO Territory, CanSinoBIO will pay to the Company an annual royalty between mid- and high-single digits based on Net Sales (as defined in the CanSinoBIO Agreements) of the products included in the Company's modifier gene therapy platform in the CanSinoBIO Territory. The Company will pay to CanSinoBIO an annual royalty between low- and mid-single digits based on Net Sales of the products included in the Company's modifier gene therapy platform in the Company Territory.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analysis and revenue recognition</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the collaboration arrangements with CanSinoBIO, are within the scope of ASC 808 and has analogized to ASC 606 to account for CanSinoBIO's access to its intellectual property as well as data generated in connection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with the co-development activities to be undertaken by Ocugen. These elements of the arrangements are not distinct and are accounted for as a single performance obligation.</w:t>
      </w:r>
    </w:p>
    <w:p>
      <w:pPr>
        <w:spacing w:after="0" w:line="189"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The non-cash consideration to be received related to the Company's satisfaction of the performance obligation includes but is not limited to services related to chemistry, manufacturing, and controls development and manufacture of clinical supplies of such products through completion of pre-clinical, clinical, regulatory, and other commercialization readiness services. The estimated market value of the co-development services to be performed by CanSinoBIO, represents variable consideration that is included in the transaction price. The Company recognizes collaborative arrangement revenue over time using an input method using ratio of costs incurred to date compared to total estimated costs required to satisfy the performance obligation under the CanSinoBIO Agreements.</w:t>
      </w:r>
    </w:p>
    <w:p>
      <w:pPr>
        <w:spacing w:after="0" w:line="2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constrained the transaction price related to certain future co-development services, as it assessed that it is probable that the inclusion of such variable consideration could result in a significant reversal of cumulative revenue in future periods. Royalty revenue will be recorded as sales occur based on the agreed upon royalties. No such royalty revenue has been recorded to date. The variable consideration, which is based on continued successful development of our programs, is reevaluated at each reporting period and as changes in circumstances occur.</w:t>
      </w:r>
    </w:p>
    <w:p>
      <w:pPr>
        <w:spacing w:after="0" w:line="2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services provided by CanSinoBIO are recorded as research and development expense as incurred and the difference between the revenue and expense recognized is recorded on the Company's balance sheet as a contract liability within Accrued expenses and other current liabilities. The related revenue recognized was recorded in the condensed consolidated statements of operations and comprehensive loss as collaborative arrangement revenue and was approximately $1.5 million and $1.5 million for the three months ended March 31, 2026 and 2025, respectively. The related expense incurred for services provided by CanSinoBIO was recorded in the condensed consolidated statements of operations and comprehensive loss as research and development expense and was approximately $0.8 million and $0.8 million for the three months ended March 31, 2026 and 2025, respectively.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contract liability was $5.2 million and $7.7 million as of March 31, 2026 and 2025, respectively. Revenue recognized for the three months ended March 31, 2026, that was included in the contract liabilities balances as of January 1, 2026 was approximately $1.5 million. Revenue recognized for the three months ended March 31, 2025, that was included in the contract liabilities balances as of January 1, 2025, was approximately $1.5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Kwangdong Pharmaceutical, Ltd.</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entered into a license agreement (“Kwangdong License”) with Kwangdong Pharmaceutical, Ltd ("Kwangdong") for the development and commercialization of the Company's modifier gene therapy product candidate OCU400 in September 2025. Pursuant to the Kwangdong License, Kwangdong gains the exclusive rights to commercialize and develop OCU400 in South Korea (“Kwangdong Territory”). Kwangdong is responsible for commercialization and regulatory approval in the Kwangdong Territory. The Company retains exclusive right to manufacture for Kwangdong. The Company will also provide additional support services to Kwangdong throughout the term of the agreement to support commercialization. In accordance with the Kwangdong License, the Company received an initial $0.8 million (net of tax) non-refundable fee and is entitled to additional milestone-based fees upon FDA and regulatory approval in the Kwangdong Territory as well as manufacturing-based fees upon shipment. The Kwangdong License also includes an option (“Repurchase Option”) for the Company to purchase the license back from Kwangdong for three times the amount of fees paid to date plus expenses. That option expires upon regulatory approval in Kwangdong Territory.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Analysis and Revenue Recognition</w:t>
      </w:r>
    </w:p>
    <w:p>
      <w:pPr>
        <w:spacing w:after="0" w:line="241"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8"/>
          <w:szCs w:val="18"/>
          <w:color w:val="auto"/>
        </w:rPr>
        <w:t>At contract inception, the Company evaluated the goods and services promised in the Kwangdong Agreement, including the license, access to certain technology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support services, and future product manufacturing. The Company concluded that these promises are not distinct in the context of the contract, as Kwangdong cannot derive benefit from the license without the Company’s manufacturing and related support.</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Accordingly, the Company identified a single combined performance obligation, consisting of the manufacture and supply of OCU400, inclusive of the related license and support activities.</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contract inception, the transaction price consisted of the $0.8 million upfront payment. All other forms of consideration, including regulatory and development milestones, sales milestone payments, and royalties, represent variable consideration.</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these payments are dependent on future regulatory approvals or sales in the territory — events that are outside the Company’s control and subject to significant uncertainty — the Company has fully constrained such amounts in accordance with ASC 606. The Company will include these amounts in the transaction price only when it becomes probable that a significant reversal of cumulative revenue will not occur.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will recognize revenue related to the Kwangdong Agreement at a point in time, when control of the manufactured product is transferred to Kwangdong. The specific point at which control transfers will be determined based on terms in the future supply agreement (e.g., title passage, shipping terms, acceptance provisions).</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revenue was recognized under the Kwangdong Agreement during the quarter ended March 31, 2026, as the Company did not deliver any manufactured product and therefore did not satisfy any portion of the combined performance obligation.</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the consolidated balance sheet, the Company classified the $0.8 million upfront payment as deferred revenue under other non-current liabilities as of March 31, 2026 and December 31, 2025. This amount will be recognized as revenue once the Company fulfills its overall performance obligation by delivering the manufactured products to Kwangdong.</w:t>
      </w:r>
    </w:p>
    <w:p>
      <w:pPr>
        <w:spacing w:after="0" w:line="200" w:lineRule="exact"/>
        <w:rPr>
          <w:sz w:val="20"/>
          <w:szCs w:val="20"/>
          <w:color w:val="auto"/>
        </w:rPr>
      </w:pPr>
    </w:p>
    <w:p>
      <w:pPr>
        <w:spacing w:after="0" w:line="23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borrowings under the EB-5 Loan Agreement and the Avenue Capital Loan and Security Agreement (as defined in Note 9) using Level 2 inputs. The valuation technique applied is a discounted cash flow analysis. The discount rate utilized is derived from the Company's Incremental Borrowing Rate Analysis, which incorporates observable market interest rates and credit spreads for instruments with similar terms and maturities. Management believes the estimated fair value does not differ materially from the carrying value of these borrowings. See Note 9 for additional information.</w:t>
      </w:r>
    </w:p>
    <w:p>
      <w:pPr>
        <w:spacing w:after="0" w:line="1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major components of property and equipment as reflected on the condensed consolidated balance sheets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16,089</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19,905</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14,392</w:t>
            </w:r>
          </w:p>
        </w:tc>
      </w:tr>
      <w:tr>
        <w:trPr>
          <w:trHeight w:val="21"/>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$0.6 million and $0.6 million for the three months ended March 31, 2026 and March 31, 2025, respectively.</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Prepaid Expenses and Other Current Assets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major components of prepaid expenses and other current assets as reflected on the consolidated balance sheets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R&amp;D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Subscriptions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Operating 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commitments under operating leases for office, laboratory, and space to be used for manufacturing in Malvern, Pennsylvania and other locations. The Company's corporate headquarters lease has an initial term of approximately seven years and includes options to extend the lease for up to 10 years, which the Company has not elected to account for since it is not reasonably certain that the Company will exercise such option. The Company's current GMP facility lease has an initial term of seven years and includes an option to extend the lease for up to five years, which the Company has elected to account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since it is reasonably certain that the Company will exercise such option. The Company leases three other general use facilities, within the United States, which have initial terms of two to three years and contain no option to extend. The Company has leases in Canada and India which have initial terms of four to five years and contain no option to extend.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future minimum base rent payments are approximately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ending December 31,</w:t>
            </w:r>
          </w:p>
        </w:tc>
        <w:tc>
          <w:tcPr>
            <w:tcW w:w="340" w:type="dxa"/>
            <w:vAlign w:val="bottom"/>
          </w:tcPr>
          <w:p>
            <w:pPr>
              <w:spacing w:after="0"/>
              <w:rPr>
                <w:sz w:val="16"/>
                <w:szCs w:val="16"/>
                <w:color w:val="auto"/>
              </w:rPr>
            </w:pP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w:t>
            </w:r>
          </w:p>
        </w:tc>
      </w:tr>
      <w:tr>
        <w:trPr>
          <w:trHeight w:val="21"/>
        </w:trPr>
        <w:tc>
          <w:tcPr>
            <w:tcW w:w="9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Accrued Expenses and Other Current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major components of accrued expenses and other current liabilities as reflected on the condensed consolidated balance sheets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9"/>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Clinical</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30"/>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30"/>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Employee-related</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w:t>
            </w:r>
          </w:p>
        </w:tc>
      </w:tr>
      <w:tr>
        <w:trPr>
          <w:trHeight w:val="230"/>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 relating to collaborative arrangements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r>
      <w:tr>
        <w:trPr>
          <w:trHeight w:val="229"/>
        </w:trPr>
        <w:tc>
          <w:tcPr>
            <w:tcW w:w="7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Debt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2016, in connection with the U.S. government's foreign national investor program, commonly known as the EB-5 Program, the Company entered into a financing arrangement (the "EB-5 Loan Agreement") which provided for cumulative borrowings of up to $10.0 million from EB5 Life Sciences, L.P. ("EB-5 Life Sciences") as the lender. Pursuant to the EB-5 Loan Agreement, borrowings were made in $0.5 million increments with a fixed interest rate of 4% per annum (the "Original Offering"). The borrowings pursuant to the Original Offering are secured by substantially all of the Company's assets, with the exception of any patents, patent applications, pending patents, patent licenses, patent sublicenses, trademarks, and other intellectual property rights held by the Company.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and conditions of the Original Offering, the Company borrowed $1.0 million during 2016, $0.5 million during 2020, $0.5 million in September 2022, and an additional $0.5 million in May 2023. Issuance costs were recognized as a reduction to the loan balance and are amortized to interest expense over the term of each borrowing. Pursuant to the Original Offering, each outstanding borrowing, including accrued interest, becomes due upon the seventh anniversary of its disbursement date, subject to certain extension provisions. Once repaid, amounts cannot be re-drawn.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March 2022 EB-5 Reform and Integrity Act of 2022 enacted changes to the EB-5 Program, including but not limited to: raising the minimum investment amount for a targeted employment area (the "TEA") from its previous level of $0.5 million to its new level of $0.8 million, as well as modifying the process for the creation of TEAs. Under the previous regime, the state in which the TEA would be located could send a letter in support of efforts to designate a TEA. Under the current regime, only U.S. Citizenship and Immigration Services can designate TEAs.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aforementioned changes to the EB-5 Program, the Original Offering was amended in May 2023 (the "Amended Offering"). Pursuant to the terms and conditions of the Amended Offering, EB-5 Life Sciences now provides for cumulative borrowings of up to $20.0 million. Future borrowings can be made in increments of $0.8 million with a fixed interest rate of 4.0% per annum. Each future borrowing pursuant to the Amended Offering, including accrued interest, will become due upon the seventh anniversary of its disbursement date. The Company has not made any borrowings pursuant to the Amended Offering as of March 31, 2026. The Company repaid principal of $1 million during the quarter ended March 31,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the borrowings pursuant to the Original Offering as of March 31, 2026 and December 31, 2025 are summarized below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outstanding</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accrued interest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debt, net of current portion</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r>
      <w:tr>
        <w:trPr>
          <w:trHeight w:val="21"/>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2024, the Company entered into a debt financing transaction (the “Loan and Security Agreement”) with Avenue Capital Management II, L.P., as administrative agent and collateral agent (the “Agent”, together with Avenue I and Avenue II, “Avenue”), Avenue Venture Opportunities Fund II, L.P., as a lender (“Avenue 2”), and Avenue Venture Opportunities Fund, L.P., as a lender (“Avenue 1”, and together with Avenue 2, the “Lenders”) for net proceeds of $29.2 million. The Loan and Security Agreement has a maturity date of November 1, 2028, of which the first 24 months are interest only, and bears interest at a variable rate per annum equal to the greater of the prime rate as reported in The Wall Street Journal plus 4.25% or 12.25%. Additionally, the Lenders have the right to convert an aggregate amount of up to $6.0 million of the outstanding principal amount into shares of common stock at a conversion price per share equal to 80% of the trading price on the date of conversion, which shall be at Lenders' option. In the event the Company elects to prepay the term loans in full, Lenders shall have 10 days to elect to exercise its conversion right prior to such prepayment. All conversion rights shall terminate on term loans payoff. Notwithstanding the foregoing, the aggregate amount of common stock issued pursuant to the “Conversion Right” and the “Equity Grant” shall not exceed a number of shares equal to 19.9% of the Company’s outstanding common stock. The agreement is collateralized by all of the Company’s assets in which the Agent is granted senior secured lien. The Company also granted the Lenders a negative pledge on the Company’s intellectual property. In connection with the Loan and Security Agreement, the Company entered into a Subscription Agreement with the Lenders, pursuant to which the Company issued 1,056,338 shares of common stock to the Lenders with an issue date of November 6, 2024.</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the borrowings pursuant to the Loan and Security Agreement as of March 31, 2026 and December 31, 2025 are summarized below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outstanding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30,000</w:t>
            </w:r>
          </w:p>
        </w:tc>
      </w:tr>
      <w:tr>
        <w:trPr>
          <w:trHeight w:val="22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(2,526)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8"/>
              </w:rPr>
              <w:t>(2,899)</w:t>
            </w: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27,474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27,101</w:t>
            </w:r>
          </w:p>
        </w:tc>
      </w:tr>
      <w:tr>
        <w:trPr>
          <w:trHeight w:val="22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long term debt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8"/>
              </w:rPr>
              <w:t>(1,250)</w:t>
            </w: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debt, net of current portion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22,474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25,851</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quarter ended March 31, 2026, the Company recognized interest expense of approximately $1.3 million including $0.4 million of debt issuance cost. For the quarter ended March 31, 2025 the Company recognized interest expense of approximately $1.2 million including $0.3 million of debt issuance cost.</w:t>
      </w:r>
    </w:p>
    <w:p>
      <w:pPr>
        <w:spacing w:after="0" w:line="200" w:lineRule="exact"/>
        <w:rPr>
          <w:sz w:val="20"/>
          <w:szCs w:val="20"/>
          <w:color w:val="auto"/>
        </w:rPr>
      </w:pPr>
    </w:p>
    <w:p>
      <w:pPr>
        <w:spacing w:after="0" w:line="20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On May 7, 2026, the Company used approximately $32.7 million of the net proceeds from its offering of senior convertible notes to fully repay the Company's obligations under the Loan and Security Agreement, including payment of the related prepayment fee and expenses, and terminated the Loan and Security Agreement and all related loan documents. See Note 16—Subsequent Events for additional information.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scheduled debt maturities for the next five years and thereafter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ending December 31,</w:t>
            </w:r>
          </w:p>
        </w:tc>
        <w:tc>
          <w:tcPr>
            <w:tcW w:w="36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 Maturities</w:t>
            </w:r>
          </w:p>
        </w:tc>
        <w:tc>
          <w:tcPr>
            <w:tcW w:w="20" w:type="dxa"/>
            <w:vAlign w:val="bottom"/>
          </w:tcPr>
          <w:p>
            <w:pPr>
              <w:spacing w:after="0"/>
              <w:rPr>
                <w:sz w:val="17"/>
                <w:szCs w:val="17"/>
                <w:color w:val="auto"/>
              </w:rPr>
            </w:pP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 w:type="dxa"/>
            <w:vAlign w:val="bottom"/>
          </w:tcPr>
          <w:p>
            <w:pPr>
              <w:spacing w:after="0"/>
              <w:rPr>
                <w:sz w:val="19"/>
                <w:szCs w:val="19"/>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20" w:type="dxa"/>
            <w:vAlign w:val="bottom"/>
          </w:tcPr>
          <w:p>
            <w:pPr>
              <w:spacing w:after="0"/>
              <w:rPr>
                <w:sz w:val="19"/>
                <w:szCs w:val="19"/>
                <w:color w:val="auto"/>
              </w:rPr>
            </w:pP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20" w:type="dxa"/>
            <w:vAlign w:val="bottom"/>
          </w:tcPr>
          <w:p>
            <w:pPr>
              <w:spacing w:after="0"/>
              <w:rPr>
                <w:sz w:val="19"/>
                <w:szCs w:val="19"/>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9"/>
                <w:szCs w:val="19"/>
                <w:color w:val="auto"/>
              </w:rPr>
            </w:pPr>
          </w:p>
        </w:tc>
      </w:tr>
      <w:tr>
        <w:trPr>
          <w:trHeight w:val="229"/>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243"/>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20" w:type="dxa"/>
            <w:vAlign w:val="bottom"/>
            <w:tcBorders>
              <w:bottom w:val="single" w:sz="8" w:color="auto"/>
            </w:tcBorders>
            <w:shd w:val="clear" w:color="auto" w:fill="000000"/>
          </w:tcPr>
          <w:p>
            <w:pPr>
              <w:spacing w:after="0"/>
              <w:rPr>
                <w:sz w:val="21"/>
                <w:szCs w:val="21"/>
                <w:color w:val="auto"/>
              </w:rPr>
            </w:pP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Registered Direct Offering</w:t>
      </w:r>
    </w:p>
    <w:p>
      <w:pPr>
        <w:spacing w:after="0" w:line="243"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In August 2025, the Company closed a registered direct offering pursuant to a securities purchase agreement with an institutional investor, for the purchase and sale of 20 million shares of common stock and warrants to purchase up to an aggregate of 20 million shares of common stock at a purchase price of $1.00 per share and accompanying warrants. The warrants have an exercise price of $1.5 per share, are exercisable immediately upon issuance, and will expire two years following the date of issuance. The warrants are callable by the Company when the volume weighted average price of the Company’s common stock exceeds $2.50 per share for at least five days of a trailing 30 trading day period. The net proceeds to the Company from the offering were $18.5 million after deducting the placement agent fees and other offering expenses. As the warrants are exercisable for a fixed number of the Company’s shares, are indexed to the Company’s stock, and do not require cash or net settlement, the Company determined that the warrants qualify for equity classification.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Exercises</w:t>
      </w:r>
    </w:p>
    <w:p>
      <w:pPr>
        <w:spacing w:after="0" w:line="24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 March 2026, the holder exercised warrants to purchase 10 million shares of common stock for aggregate gross proceeds of $15.0 million. The warrants were exercised at an exercise price of $1.50 per share. The aggregate net proceeds received of $14.2 million were recorded as an increase to common stock and additional paid-in capital.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Underwritten Registered Direct Offering</w:t>
      </w:r>
    </w:p>
    <w:p>
      <w:pPr>
        <w:spacing w:after="0" w:line="243"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In January 2026, the Company completed an underwritten registered direct offering of 15.0 million shares of common stock at an offering price of $1.50 per share of common stock, resulting in gross proceeds of $22.5 million. The Company received net proceeds of approximately $20.7 million, after deducting commissions and other offering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Warrants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Beginning in 2016, the Company issued warrants to purchase common stock. In August 2025, the Company issued additional warrants to purchase up to 20 million shares of common stock as disclosed in Note 10 above. Pursuant to securities purchase agreement with an institutional investor, on March 12, 2026, the holder purchased 10 million shares of common stock upon the partial exercise of its warrants for the gross proceeds of $15.0 million.</w:t>
      </w:r>
    </w:p>
    <w:p>
      <w:pPr>
        <w:spacing w:after="0" w:line="176" w:lineRule="exact"/>
        <w:rPr>
          <w:sz w:val="20"/>
          <w:szCs w:val="20"/>
          <w:color w:val="auto"/>
        </w:rPr>
      </w:pPr>
    </w:p>
    <w:p>
      <w:pPr>
        <w:jc w:val="both"/>
        <w:ind w:right="20"/>
        <w:spacing w:after="0" w:line="222" w:lineRule="exact"/>
        <w:rPr>
          <w:sz w:val="20"/>
          <w:szCs w:val="20"/>
          <w:color w:val="auto"/>
        </w:rPr>
      </w:pPr>
      <w:r>
        <w:rPr>
          <w:rFonts w:ascii="Times New Roman" w:cs="Times New Roman" w:eastAsia="Times New Roman" w:hAnsi="Times New Roman"/>
          <w:sz w:val="18"/>
          <w:szCs w:val="18"/>
          <w:color w:val="auto"/>
        </w:rPr>
        <w:t>As of March 31, 2026 and December 31, 2025, 10.6 million and 20.6 million warrants were vested and outstanding, respectively. The outstanding warrants had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exercise price of $1.78 per share at March 31, 2026 and $1.64 per share at December 31, 2025, and are scheduled to expire between 2026 and 2027.</w:t>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stock options, RSUs and PSUs is reflected in the condensed consolidated statements of operations and comprehensive loss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80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$10.9 million of unrecognized stock-based compensation expense related to stock options, RSUs and PSUs outstanding, which is expected to be recognized over a weighted-average period of 2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maintains two equity compensation plans, the 2014 Ocugen OpCo, Inc. Stock Option Plan (the "2014 Plan") and the Ocugen, Inc. 2019 Equity Incentive Plan (the "2019 Plan", collectively with the 2014 Plan, the "Plans"). On the first business day of each fiscal year, pursuant to the "Evergreen" provision of the 2019 Plan, the aggregate number of shares that may be issued under the 2019 Plan will automatically increase by a number equal to the lesser of 4% of the total number of shares of the Company's common stock outstanding on December 31st of the prior year, or a number of shares determined by the Board of Directors. As of March 31, 2026, the 2019 Plan authorized the granting of up to 62.8 million equity awards in respect to the Company's common stock, respectively. The 2019 Plan had 9.1 million equity awards remaining available for future grants as of March 31, 2026. In addition to stock options, PSUs and RSUs granted under the Plans, the Company has granted certain stock options and RSUs as material inducements to employment in accordance with Nasdaq Listing Rule 5635 (c)(4), which were granted outside of the Plans.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to Purchase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20" w:type="dxa"/>
            <w:vAlign w:val="bottom"/>
          </w:tcPr>
          <w:p>
            <w:pPr>
              <w:spacing w:after="0"/>
              <w:rPr>
                <w:sz w:val="17"/>
                <w:szCs w:val="17"/>
                <w:color w:val="auto"/>
              </w:rPr>
            </w:pPr>
          </w:p>
        </w:tc>
        <w:tc>
          <w:tcPr>
            <w:tcW w:w="14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2025</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24,561,750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ind w:left="1195"/>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8,050,410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9"/>
                <w:szCs w:val="19"/>
                <w:color w:val="auto"/>
              </w:rPr>
            </w:pPr>
          </w:p>
        </w:tc>
        <w:tc>
          <w:tcPr>
            <w:tcW w:w="1740" w:type="dxa"/>
            <w:vAlign w:val="bottom"/>
            <w:gridSpan w:val="2"/>
          </w:tcPr>
          <w:p>
            <w:pPr>
              <w:jc w:val="center"/>
              <w:ind w:left="1115"/>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center"/>
              <w:ind w:left="1115"/>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9"/>
                <w:szCs w:val="19"/>
                <w:color w:val="auto"/>
              </w:rPr>
            </w:pPr>
          </w:p>
        </w:tc>
        <w:tc>
          <w:tcPr>
            <w:tcW w:w="1740" w:type="dxa"/>
            <w:vAlign w:val="bottom"/>
            <w:gridSpan w:val="2"/>
          </w:tcPr>
          <w:p>
            <w:pPr>
              <w:jc w:val="center"/>
              <w:ind w:left="1115"/>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March 31, 2026</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31,856,552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center"/>
              <w:ind w:left="1195"/>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18,120</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March 31, 2026</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31,856,552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center"/>
              <w:ind w:left="1195"/>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18,120</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at March 31, 2026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14,657,897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center"/>
              <w:ind w:left="1195"/>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during the three months ended March 31, 2026 and 2025 were $1.20 and $0.75, respectively. The total fair value of stock options vested during the three months ended March 31, 2026 and 2025 were $2.9 million and $4.0 million,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RSU activity:</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Weighted Average Fair</w:t>
            </w:r>
          </w:p>
        </w:tc>
      </w:tr>
      <w:tr>
        <w:trPr>
          <w:trHeight w:val="204"/>
        </w:trPr>
        <w:tc>
          <w:tcPr>
            <w:tcW w:w="7860" w:type="dxa"/>
            <w:vAlign w:val="bottom"/>
          </w:tcPr>
          <w:p>
            <w:pPr>
              <w:spacing w:after="0"/>
              <w:rPr>
                <w:sz w:val="17"/>
                <w:szCs w:val="17"/>
                <w:color w:val="auto"/>
              </w:rPr>
            </w:pPr>
          </w:p>
        </w:tc>
        <w:tc>
          <w:tcPr>
            <w:tcW w:w="17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7"/>
                <w:szCs w:val="17"/>
                <w:color w:val="auto"/>
              </w:rPr>
            </w:pPr>
          </w:p>
        </w:tc>
        <w:tc>
          <w:tcPr>
            <w:tcW w:w="15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78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unvested at December 31, 2025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2,818,135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(743,991)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unvested at March 31, 2026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2,915,446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pursuant to the 2019 Plan, the Compensation Committee of the Company's Board of Directors adopted a performance restricted stock unit agreement (the "PSU Agreement"). Pursuant to the PSU Agreement, the Company granted 615,467, 256,885, and 3,314,445 of market-based performance stock units at target on January 2, 2024, April 16 2024, and January 2, 2025. The PSUs granted in 2024, cliff vest after the requisite service period ending on December 31, 2026. The PSUs granted in 2025, cliff vest after the requisite service period ending on December 31, 2027. The PSUs have the potential to be earned at between 0% and 200% of the number of awards granted depending on the level of growth of the Company's TSR as compared to the TSR of the other companies within the Nasdaq Biotechnology Index over the performance period. The fair value of the market-based PSUs was determined using a Monte Carlo simulation technique.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fourth quarter of 2025, the Compensation Committee of the Company's Board of Directors conducted a review, with its compensation consultant, of total equity ownership of the Company’s Chief Executive Officer, Dr. Shankar Musunuri, as compared to founder chief executive officers in the Company’s peer group. On December 12, 2025, upon recommendation of the Compensation Committee, the Board approved an award of 9,369,604 Performance Restricted Stock Units (the “2026 PSUs”) to Dr. Musunuri, in addition to Dr. Musunuri’s regular annual equity award, which were granted on January 2, 2026.</w:t>
      </w:r>
    </w:p>
    <w:p>
      <w:pPr>
        <w:spacing w:after="0" w:line="19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2026 PSUs are subject to a three year performance period ending December 31, 2028 (the “Performance Period”) and will vest upon the Compensation Committee’s determination of the Company’s achievement of certain performance milestones as follows: (i) two-thirds of the 2026 PSUs will vest upon certain regulatory milestones and (ii) one-third of the 2026 PSUs will vest upon the achievement of a market capitalization related milestone, in each case during the Performance Period. The performance milestones may be achieved (and the 2026 PSUs earned) at any time during the Performance Period, and the 2026 PSUs will vest and be settled in shares of the Company’s Common Stock at such time as the Compensation Committee certifies that an applicable performance milestone has been achieved, subject to Dr. Musunuri’s continued service with the Company through the applicable achievement date. Any 2026 PSUs for which a performance milestone has not been achieved by the end of the Performance Period will be cancelled and forfeited. Upon any termination of service, any portion of the 2026 PSUs that is unvested and unearned as of the termination date will be forfeited. For the portion of the 2026 PSUs with regulatory milestone-based vesting conditions, the fair value of the RSU or PSU is determined by the market price of a share of the Company's common stock on the grant date. For the portion of the 2026 PSUs with a market capitalization-based vesting condition, the Company estimates grant-date fair value using a Monte Carlo simulation model.</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 Agreement Regarding Equity Awards</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20, 2026, the Company entered into a Letter Agreement Regarding Equity Awards (the “Agreement”) with its Chief Executive Officer, Shankar Musunuri, that amends certain administrative and settlement terms applicable to previously granted equity awards under the Company’s 2019 Equity Incentive Plan (the “Plan”).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Agreement applies to specified portions of the following outstanding equity awards (collectively, the “Covered Awards”):</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Stock Options: Options granted on January 2, 2026 to purchase 3,123,201 shares, of which 2,000,000 options are subject to the Agreement.</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Performance-Based Restricted Stock Units (“2026 PSUs”): A target award granted on January 2, 2026 of 9,369,604 PSUs, of which 6,000,000 PSUs are subject to the Agreement. The 2026 PSUs vest upon the achievement of specified performance and market conditions.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Performance-Based Restricted Stock Units (“2025 PSUs”): A target award granted on January 2, 2025 of 1,388,889 PSUs, of which 1,000,000 PSUs are subject to the Agreement. The 2025 PSUs vest based on the Company’s relative stock performance compared to a peer index over a three-year performance period.</w:t>
      </w:r>
    </w:p>
    <w:p>
      <w:pPr>
        <w:spacing w:after="0" w:line="2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Under the Agreement, vesting of the Covered Awards continues in accordance with the original award agreements and the Plan. In addition, vested Covered Awards are not subject to forfeiture solely as a result of the authorized share shortfall. With respect to the Covered Options, exercisability of the 2,000,000 options subject to the Agreement is suspended until an authorized share increase becomes effective. The contractual expiration date and post-termination exercise provisions are otherwise unchanged; however, if the suspension of exercisability continues beyond 90 days after the original expiration date, the option term is automatically extended for the length of the suspension to preserve the option’s original economic life. For Covered PSUs that vest, settlement in shares is deferred until an authorized share increase becomes effective. If the authorized share increase is not effective by March 15 of the calendar year following the year of vesting, the Company must either deliver shares from alternative sources or settle the vested PSUs in cash, at the CEO’s election, based on fair market value as of the vesting date.</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evaluated the Agreement under ASC 718-20-35-2A to assess whether modification accounting was required for each category of Covered Awards.</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 The Company concluded that the Agreement modified the original grant by introducing a performance condition related to the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shares which is necessary for the options to become exercisable. Since the share increase is outside the control of the Company and cannot be considered probable, the Agreement was determined to be a probable to improbable, or Type II, modification. In this case, ASC 718 requires expense measurement and recognition to continue under the original terms of the option grant. Accordingly, the Company continued to recognize the expense associated with the options in normal course during the first quarter of 2026.</w:t>
      </w:r>
    </w:p>
    <w:p>
      <w:pPr>
        <w:spacing w:after="0" w:line="2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2026 PSUs </w:t>
      </w:r>
      <w:r>
        <w:rPr>
          <w:rFonts w:ascii="Times New Roman" w:cs="Times New Roman" w:eastAsia="Times New Roman" w:hAnsi="Times New Roman"/>
          <w:sz w:val="18"/>
          <w:szCs w:val="18"/>
          <w:color w:val="auto"/>
        </w:rPr>
        <w:t>— Based on the expected order in which the 2026 PSU tranches will vest, the Company determined that the Agreement's settlement restrictions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to the performance-condition tranches, which were not probable of vesting at either the grant date or the Agreement date. The market-condition tranche is not subject to the Agreement’s restrictions. Because the tranches subject to the Agreement were not probable of vesting both immediately before and after the Agreement, the Company has not recognized compensation cost for those PSUs.</w:t>
      </w:r>
    </w:p>
    <w:p>
      <w:pPr>
        <w:spacing w:after="0" w:line="2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2025 PSUs </w:t>
      </w:r>
      <w:r>
        <w:rPr>
          <w:rFonts w:ascii="Times New Roman" w:cs="Times New Roman" w:eastAsia="Times New Roman" w:hAnsi="Times New Roman"/>
          <w:sz w:val="18"/>
          <w:szCs w:val="18"/>
          <w:color w:val="auto"/>
        </w:rPr>
        <w:t>— The Agreement introduced a contingent cash settlement feature, which resulted in a change in the classification of the 2025 PSUs.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concluded that the contingent cash settlement feature requires liability classification because it cannot be considered probable that the authorized share limitation will be resolved prior to the date on which cash settlement would be available to the CEO. Accordingly, the 1,000,000 2025 PSUs subject to the Agreement were classified as other non-current liability. The Company applied modification accounting and additional compensation cost was recognized to reflect the fair value of the liability in excess of compensation cost previously recognized. The Company remeasured the fair value of the 2025 PSUs subject to the Agreement as of the modification date and as of March 31, 2026.</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recognized $0.9 million of incremental stock-based compensation expense related to the modification of the 2025 PSUs. As of March 31, 2026, $1.3 million was recorded in Other non-current liability related to the modified PSU awards.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PSU activity: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18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Weighted Average Grant-Date Fair Value</w:t>
            </w:r>
          </w:p>
        </w:tc>
      </w:tr>
      <w:tr>
        <w:trPr>
          <w:trHeight w:val="23"/>
        </w:trPr>
        <w:tc>
          <w:tcPr>
            <w:tcW w:w="36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outstanding at December 31, 2025</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4,186,797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20" w:type="dxa"/>
            <w:vAlign w:val="bottom"/>
          </w:tcPr>
          <w:p>
            <w:pPr>
              <w:spacing w:after="0"/>
              <w:rPr>
                <w:sz w:val="19"/>
                <w:szCs w:val="19"/>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9,369,604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620" w:type="dxa"/>
            <w:vAlign w:val="bottom"/>
          </w:tcPr>
          <w:p>
            <w:pPr>
              <w:spacing w:after="0"/>
              <w:rPr>
                <w:sz w:val="19"/>
                <w:szCs w:val="19"/>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19"/>
                <w:szCs w:val="19"/>
                <w:color w:val="auto"/>
              </w:rPr>
            </w:pPr>
          </w:p>
        </w:tc>
      </w:tr>
      <w:tr>
        <w:trPr>
          <w:trHeight w:val="230"/>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(324,210)</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20" w:type="dxa"/>
            <w:vAlign w:val="bottom"/>
          </w:tcPr>
          <w:p>
            <w:pPr>
              <w:spacing w:after="0"/>
              <w:rPr>
                <w:sz w:val="19"/>
                <w:szCs w:val="19"/>
                <w:color w:val="auto"/>
              </w:rPr>
            </w:pP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outstanding at March 31, 2026</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13,232,191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620" w:type="dxa"/>
            <w:vAlign w:val="bottom"/>
          </w:tcPr>
          <w:p>
            <w:pPr>
              <w:spacing w:after="0"/>
              <w:rPr>
                <w:sz w:val="19"/>
                <w:szCs w:val="19"/>
                <w:color w:val="auto"/>
              </w:rPr>
            </w:pPr>
          </w:p>
        </w:tc>
      </w:tr>
      <w:tr>
        <w:trPr>
          <w:trHeight w:val="864"/>
        </w:trPr>
        <w:tc>
          <w:tcPr>
            <w:tcW w:w="3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9"/>
              </w:rPr>
              <w:t>21</w:t>
            </w:r>
          </w:p>
        </w:tc>
        <w:tc>
          <w:tcPr>
            <w:tcW w:w="36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Net Loss Per Share of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for the three months ended March 31, 2026 and 2025 (in thousands, except share and per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(15,350)</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shareholders — basic and diluted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(15,350)</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shares used in calculating net loss per common share — basic and diluted</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327,543,855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291,996,562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 basic and 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 average shares outstanding, as their inclusion would have been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380" w:type="dxa"/>
            <w:vAlign w:val="bottom"/>
            <w:gridSpan w:val="3"/>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8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31,856,552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22,643,905</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2,915,446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948,862</w:t>
            </w:r>
          </w:p>
        </w:tc>
      </w:tr>
      <w:tr>
        <w:trPr>
          <w:trHeight w:val="27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13,232,291</w:t>
            </w: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4,186,797</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10,628,664</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628,664</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58,632,953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28,408,228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commitments under certain license and development agreements, lease agreements, commitments related to renovating an existing facility for GMP, and debt agreements. Commitments under certain license and development agreements include annual payments, payments upon the achievement of certain milestones, and royalty payments based on net sales of licensed products (see Note 3). Commitments under lease agreements are future minimum lease payments (see Note 7). Commitments under debt agreements are the future payment of principal and accrued interest under the EB-5 Loan Agreement and the Loan and Security Agreement (see Note 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2024, a securities class action lawsuit was filed against the Company and certain of its agents in the United States District Court for the Eastern District of Pennsylvania ("Court") (Case No. 2:24-cv-01500) that purported to state a claim for alleged violations of Sections 10(b) and 20(a) of the Exchange Act and Rule 10b-5 promulgated thereunder, based on statements made by the Company concerning the Company's previously-issued audited consolidated financial statements for each fiscal year beginning January 1, 2020 and its previously-issued unaudited condensed consolidated financial statements for each of the first three quarters in such years and the effectiveness of the Company's disclosure controls and procedures during each such</w:t>
      </w:r>
    </w:p>
    <w:p>
      <w:pPr>
        <w:spacing w:after="0" w:line="8"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7"/>
          <w:szCs w:val="17"/>
          <w:color w:val="auto"/>
        </w:rPr>
        <w:t>period. The complaint sought unspecified damages, interest, attorneys' fees, and other costs. In October 2024, the lead plaintiff filed an amended complaint, and in December 2024, the Company filed a motion to dismiss. In February 2025, the lead plaintiff filed an opposition to the motion to dismiss, and the</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Company filed a reply in support of the motion to dismiss in March 2025. In July 2025, the Company’s motion to dismiss, with prejudice, was granted. The lead plaintiff appealed to the United States Court of Appeals for the Third Circuit ("Third Circuit") regarding the order that was entered in July 2025, which dismissed the action with prejudice. The lead plaintiff’s appellant's brief and joint appendix were filed in October 2025, the Company’s appellees’ brief was filed in December 2025, and the lead plaintiff’s reply brief was filed in January 2026. The Third Circuit has tentatively scheduled oral argument to be held on June 11, 2026.</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May 2024, a stockholder derivative lawsuit was filed on behalf of the Company against certain of its agents and the nominal defendant Ocugen in the Court (Case No. 2:24-cv-02234) that purported to state a claim for breach of fiduciary duties, unjust enrichment, abuse of control, gross mismanagement, waste of corporate assets, violations of Section 14(a) of the Exchange Act, and contribution for violations of Sections 10(b) and 21(d) of the Exchange Act, based on the facts and circumstances relating to the securities class action and seeking damages and certain governance reforms in connection with claims asserted in the securities class action. In June 2024, the Court approved the parties’ joint stipulation for an order staying the derivative lawsuit pending resolution of a motion to dismiss in the related securities class action. In the third quarter of 2024, four additional stockholder derivative lawsuits were filed on behalf of the Company against certain of its agents and the nominal defendant Ocugen in the Court (Case Nos. 2:24-cv-03119, 2:24-cv-03209, 2:24-cv-04813, 2:24-cv-04864) asserting similar facts and claims as the first complaint, and in March 2025, the Court consolidated these five derivative lawsuits and stayed the lawsuits pending resolution of the motion to dismiss in the related securities class action. Under consolidated Case No. 2:24-cv-02234, an amended shareholder derivative complaint was filed by a plaintiff in May 2025, and an amended shareholder derivative complaint was filed by two other plaintiffs in June 2025. In August 2025, the Court approved the parties’ joint stipulation to continue the stay during the pendency of the appeal filed in the related securities class action.</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January 2025, a stockholder derivative lawsuit was filed on behalf of the Company against certain of its agents and the nominal defendant Ocugen in the Delaware Court of Chancery ("Delaware Court") (Case No. 2025-0095-JTL) asserting similar facts and claims related to breaches of fiduciary duty, unjust enrichment and insider trading, and in March 2025, the Delaware Court approved the parties’ joint stipulation for an order staying the lawsuit pending resolution of a motion to dismiss in the related securities class action. In September 2025, the Delaware Court approved the parties’ joint stipulation to continue the stay during the pendency of the appeal filed in the related securities class action.</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October 2025, a securities class action lawsuit was filed against the Company in the Delaware Court (Case No. 2025-1214) that purported to state claims for breach of contract, declaratory judgment under 8 Del. C. § 225(b) and declaratory judgment under 10 Del. C. § 6501 based on allegations that the Company breached provisions of the Company’s charter and attempted to evade the voting threshold in the Company’s charter. The complaint seeks unspecified damages, interest, attorneys’ fees and other costs among injunctive relief and other governance related actions and declarations. On February 12, 2026, the Company filed a petition (the “Petition”) in the Delaware Court pursuant to Section 205 of the Delaware General Corporation Law seeking validation of the Certificate of Amendment to the Company’s charter increasing the Company’s number of authorized shares of common stock, and all shares of the Company’s common stock issued in reliance on the effectiveness and validity thereof. Concurrently with the filing of the Petition, the Company filed a motion to expedite the hearing on the Petition, which was held on May 6, 2026. At the hearing, the Delaware Court validated the Certificate of Amendment and declared it effective and declared valid all shares of the Company's common stock issued after the effectiveness of the Certificate of Amendment on July 11, 2024. Although the Company believes that the Delaware Court's Order in the hearing effectively makes the class action complaint moot, the class action complaint has not been withdrawn as of the date of issuance of these financial statements.</w:t>
      </w:r>
    </w:p>
    <w:p>
      <w:pPr>
        <w:spacing w:after="0" w:line="2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believes that these lawsuits are without merit and intends to vigorously defend against them. At this time, no assessment can be made as to their likely outcome or whether the outcome will be material to the Company. No information is available to indicate that it is probable that a loss has been incurred and can be reasonably estimated as of the date of the condensed consolidated financial statements and, as such, no accrual for the loss has been recorded within the condensed consolidated financial statements.</w:t>
      </w:r>
    </w:p>
    <w:p>
      <w:pPr>
        <w:spacing w:after="0" w:line="200" w:lineRule="exact"/>
        <w:rPr>
          <w:sz w:val="20"/>
          <w:szCs w:val="20"/>
          <w:color w:val="auto"/>
        </w:rPr>
      </w:pPr>
    </w:p>
    <w:p>
      <w:pPr>
        <w:spacing w:after="0" w:line="21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one operating and reportable segment relating to the research, development and commercialization of its novel gene therapies. The segment derives its current revenue from a co-development and commercialization agreement with CanSinoBIO. The Company does not track expenses on an individual program basis for overhead costs, as the Company utilizes its resources across all programs.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Chief Operating Decision Maker (the "CODM"), its Chief Executive Officer, manages the Company's operations on an integrated basis for the purposes of allocating resources. When evaluating the Company's financial performance, the CODM reviews financial information at the consolidated level. The CODM uses net loss as the measure of profit or loss to allocate resources and assess performance. The CODM regularly reviews net loss as reported on the Company’s consolidated statements of operations and comprehensive loss. Financial forecasts and budget to actual results used by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CODM to assess performance and allocate resources, as well as those used for strategic decisions related to headcount and capital expenditures are also reviewed on a consolidated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measure of segment assets is reported on the balance sheet as total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is a summary of the segment profit or loss, including significant segment expenses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Collaborative arrangement revenue</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r>
      <w:tr>
        <w:trPr>
          <w:trHeight w:val="20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OCU400</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OCU410 and OCU410ST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NeoCart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COVAXIN</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Inhaled mucosal vaccine platform</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OCU200</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Unallocated costs: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personnel costs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Facilities and other support costs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30"/>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19,372</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15,982</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(14,501)</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30"/>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and consolidated net loss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(19,177)</w:t>
            </w: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(15,350)</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8600" w:firstLine="8"/>
        <w:spacing w:after="0" w:line="537" w:lineRule="auto"/>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 Convertible Senior Notes Offering</w:t>
      </w:r>
    </w:p>
    <w:p>
      <w:pPr>
        <w:spacing w:after="0" w:line="17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May 7, 2026, the Company completed a private offering of $115.0 million aggregate principal amount of 6.75% Convertible Senior Notes due 2034, resulting in net proceeds of approximately $99.5 million after discounts, commissions, and estimated offering expenses. The notes are general unsecured obligations of the Company. The Company used $32.7 million of the net proceeds to fully repay the outstanding obligations under the Loan and Security Agreement, including accrued interest, prepayment fee, and related expenses and terminated the Loan and Security Agreement. The Company expects to use the remaining net proceeds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financial statements and the notes thereto included elsewhere in this Quarterly Report on Form 10-Q and with our audited financial statements for the year ended December 31, 2025, included in our 2025 Annual Report. Some of the information contained in this discussion and analysis, including information with respect to our plans and strategy for our business and related financing, include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Except as required by law, we undertake no obligation to publicly update these forward-looking statements, whether as a result of new information, future events, or otherwise. You should read the "Risk Factors" section included in our 2025 Annual Report and the "Risk Factors" and "Disclosure Regarding Forward-Looking Statements" sections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 biotechnology company focused on discovering, developing, and commercializing novel gene therapies that improve health and offer hope for patients across the globe.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technology pipeline includes:</w:t>
      </w: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Novel Modifier Gene Therapy Platform </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b w:val="1"/>
          <w:bCs w:val="1"/>
          <w:color w:val="auto"/>
        </w:rPr>
      </w:pPr>
    </w:p>
    <w:p>
      <w:pPr>
        <w:jc w:val="both"/>
        <w:ind w:left="660"/>
        <w:spacing w:after="0" w:line="23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OCU400</w:t>
      </w:r>
      <w:r>
        <w:rPr>
          <w:rFonts w:ascii="Times New Roman" w:cs="Times New Roman" w:eastAsia="Times New Roman" w:hAnsi="Times New Roman"/>
          <w:sz w:val="18"/>
          <w:szCs w:val="18"/>
          <w:color w:val="auto"/>
        </w:rPr>
        <w:t>- Based on the use of nuclear hormone receptors ("NHRs"), we believe our novel modifier gene therapy platform has the potential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 major blindness diseases, including rare genetic diseases such as RP (OCU400), with a gene-agnostic approach. OCU400 is intended for early to advanced cases of RP including clinical and/or genetic diagnosis with both syndromic and non-syndromic forms of the disease. In January 2025, we announced positive two-year data for multiple mutations from the Phase 1/2 clinical trial for OCU400. In February 2025, we announced that the European Commission ("EC") has provided a positive opinion from the European Medicines Agency's ("EMA") Committee for Advanced Therapies for OCU400 Advanced Therapy Medicinal Product ("ATMP") classification. We have completed enrollment in the Phase 3 liMeliGhT clinical trial for OCU400. Positive long-term, 3-year Phase 1/2 data for OCU400 were recently assessed in evaluable subjects and builds on prior 2-year results showing consistent clinically meaningful, approximately 2-line LLVA gain across mutations. OCU400 maintained a favorable durability, safety and tolerability profile with no new treatment-related serious adverse events or adverse events of interest emerged.</w:t>
      </w:r>
    </w:p>
    <w:p>
      <w:pPr>
        <w:spacing w:after="0" w:line="21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 data include:</w:t>
      </w:r>
    </w:p>
    <w:p>
      <w:pPr>
        <w:spacing w:after="0" w:line="15" w:lineRule="exact"/>
        <w:rPr>
          <w:rFonts w:ascii="Times New Roman" w:cs="Times New Roman" w:eastAsia="Times New Roman" w:hAnsi="Times New Roman"/>
          <w:sz w:val="18"/>
          <w:szCs w:val="18"/>
          <w:b w:val="1"/>
          <w:bCs w:val="1"/>
          <w:color w:val="auto"/>
        </w:rPr>
      </w:pPr>
    </w:p>
    <w:p>
      <w:pPr>
        <w:ind w:left="1300" w:hanging="320"/>
        <w:spacing w:after="0" w:line="234" w:lineRule="auto"/>
        <w:tabs>
          <w:tab w:leader="none" w:pos="129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Visual function benefits were consistently observed over 3 years, with 88% (7/8) of evaluable treated subjects showing improvement or preservation versus untreated fellow eyes.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2-line gain (N=8) observed across multiple mutation types in treated eyes compared to untreated eyes at 3 years.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expect to begin a rolling BLA submission in the third quarter of 2026 and plan to complete the BLA submission by the second quarter of 2027.</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announced OCU400 Phase 3 liMeliGhT enrollment completion (N=140 subjects), reflecting strong interest from investigators and patients.</w:t>
      </w:r>
    </w:p>
    <w:p>
      <w:pPr>
        <w:spacing w:after="0" w:line="21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Topline Phase 3 data is expected in the first quarter of 2027, advancing OCU400 towards potential approval in the fourth quarter of 2027 as a treatment option for early- to late-stage RP.</w:t>
      </w:r>
    </w:p>
    <w:p>
      <w:pPr>
        <w:spacing w:after="0" w:line="17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b w:val="1"/>
          <w:bCs w:val="1"/>
          <w:color w:val="auto"/>
        </w:rPr>
        <w:t>OCU410ST</w:t>
      </w:r>
      <w:r>
        <w:rPr>
          <w:rFonts w:ascii="Times New Roman" w:cs="Times New Roman" w:eastAsia="Times New Roman" w:hAnsi="Times New Roman"/>
          <w:sz w:val="18"/>
          <w:szCs w:val="18"/>
          <w:color w:val="auto"/>
        </w:rPr>
        <w:t>- We initiated dosing in GARDian3 pivotal confirmatory trial for OCU410ST in July 2025. The OCU410ST Phase 2/3 pivotal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confirmatory trial represents our second late-stage clinical program. We plan to submit a BLA for OCU410ST by mid-2027 in alignment with our strategic goal of filing three BLAs by 2028. In November 2024, the EMA granted orphan medicinal product designation ("OMPD") for OCU410ST for the treatment of ABCA4-associated retinopathies (&gt;1200 mutations) including ST, RP 19, and CORD3. In May 2025, we announced that the FDA granted Rare Pediatric Disease Designation ("RPDD") for OCU410ST for the treatment of ABCA4-associated retinopathies including ST, retinitis pigmentosa 19 ("RP19"), and cone-rod dystrophy 3 ("CORD3"). In June 2025, we announced that the FDA has cleared the Investigational New Drug ("IND") amendment to initiate a Phase 2/3 pivotal confirmatory trial of OCU410ST, a modifier gene therapy candidate being developed for all ST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ABCA4-associated retinopathies). In August 2025, we announced that the Committee for Medicinal Products for Human Use ("CHMP")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EMA reviewed the study design, endpoints and planned statistical analysis of the ongoing pivotal confirmatory OCU410ST Phase 2/3 GARDian3 clinical trial for ST and provided acceptability of a single U.S.-based trial for submission of a Marketing Authorization Application ("MAA").</w:t>
      </w:r>
    </w:p>
    <w:p>
      <w:pPr>
        <w:spacing w:after="0" w:line="20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January 2026, we announced publication of Phase 1 GARDian1 Trial results for OCU410ST. The study supports favorable safety and tolerability and clinically meaningful functional and structural benefits in patients with ABCA4-associated retinopathies including Stargardt disease.</w:t>
      </w:r>
    </w:p>
    <w:p>
      <w:pPr>
        <w:spacing w:after="0" w:line="189" w:lineRule="exact"/>
        <w:rPr>
          <w:sz w:val="20"/>
          <w:szCs w:val="20"/>
          <w:color w:val="auto"/>
        </w:rPr>
      </w:pPr>
    </w:p>
    <w:p>
      <w:pPr>
        <w:jc w:val="both"/>
        <w:ind w:left="660"/>
        <w:spacing w:after="0" w:line="237" w:lineRule="auto"/>
        <w:rPr>
          <w:sz w:val="20"/>
          <w:szCs w:val="20"/>
          <w:color w:val="auto"/>
        </w:rPr>
      </w:pPr>
      <w:r>
        <w:rPr>
          <w:rFonts w:ascii="Times New Roman" w:cs="Times New Roman" w:eastAsia="Times New Roman" w:hAnsi="Times New Roman"/>
          <w:sz w:val="18"/>
          <w:szCs w:val="18"/>
          <w:color w:val="auto"/>
        </w:rPr>
        <w:t>The OCU410ST Phase 1 clinical trial demonstrated that atrophic lesions grew slower by 54% at 12 months for evaluable treated subjects when compared to untreated fellow eyes. In the secondary endpoint- Best Corrected Visual Acuity (BCVA), treated-eyes showed an improvement with 1-line (6 ETDRS Letter) gain in the visual acuity when compared to untreated fellow eyes. Additionally, 100% of evaluable treated eyes demonstrated stabilization or improvement vs. untreated eyes in visual function. In evaluable subjects (N=6) the rate of ellipsoid zone (EZ) loss was 116% slower in OCU410ST-treated eyes compared to untreated fellow eyes at 12 months, demonstrating preservation or stabilization in photoreceptor integrity. The untreated eyes showed expected decline in atrophy. In April 2026, we announced early completion of dosing in the Phase 2/3 pivotal confirmatory trial (N=63 subjects). GARDian 3 trial enrollment and dosing completed successfully in less than 9 months. We plan to submit the BLA for OCU410ST by mid-2027.</w:t>
      </w:r>
    </w:p>
    <w:p>
      <w:pPr>
        <w:spacing w:after="0" w:line="210"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18"/>
          <w:szCs w:val="18"/>
          <w:b w:val="1"/>
          <w:bCs w:val="1"/>
          <w:color w:val="auto"/>
        </w:rPr>
        <w:t>OCU410</w:t>
      </w:r>
      <w:r>
        <w:rPr>
          <w:rFonts w:ascii="Times New Roman" w:cs="Times New Roman" w:eastAsia="Times New Roman" w:hAnsi="Times New Roman"/>
          <w:sz w:val="18"/>
          <w:szCs w:val="18"/>
          <w:color w:val="auto"/>
        </w:rPr>
        <w:t>- We completed dosing in Phase 2 of the Phase 1/2 ArMaDa clinical trial for OCU410 for the treatment of geographic atrophy ("GA"),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advanced form of dAMD. Positive preliminary efficacy and safety data from the Phase 1 dose-escalation portion of the OCU410 Phase 1/2 ArMaDa clinical trial included: no drug-related serious adverse events ("SAEs"), reduced lesion growth, preservation of retinal tissue, and—most importantly—there was a positive effect on the functional visual measure of low luminance visual acuity ("LLVA"). In March 2025, OCU410 and OCU410ST received ATMP classification from the EMA.</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March 2026 we announced positive 12-month topline data from the Phase 2 ArMaDa clinical trial. Key findings from Phase 2 include:</w:t>
      </w:r>
    </w:p>
    <w:p>
      <w:pPr>
        <w:spacing w:after="0" w:line="11"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reduction in lesion growth in the optimal dose (medium) group compared to control (p&lt; 0.05)</w:t>
      </w:r>
    </w:p>
    <w:p>
      <w:pPr>
        <w:ind w:left="1300" w:hanging="320"/>
        <w:spacing w:after="0" w:line="234"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slower rate of ellipsoid zone (EZ) loss compared to control, indicating structural preservation of photoreceptors, which correlates with visual function</w:t>
      </w:r>
    </w:p>
    <w:p>
      <w:pPr>
        <w:spacing w:after="0" w:line="1" w:lineRule="exact"/>
        <w:rPr>
          <w:rFonts w:ascii="Times New Roman" w:cs="Times New Roman" w:eastAsia="Times New Roman" w:hAnsi="Times New Roman"/>
          <w:sz w:val="18"/>
          <w:szCs w:val="18"/>
          <w:color w:val="auto"/>
        </w:rPr>
      </w:pPr>
    </w:p>
    <w:p>
      <w:pPr>
        <w:ind w:left="1300" w:hanging="320"/>
        <w:spacing w:after="0" w:line="234"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of treated patients demonstrated ≥30% lesion size reduction vs. control</w:t>
      </w:r>
    </w:p>
    <w:p>
      <w:pPr>
        <w:ind w:left="1300" w:hanging="320"/>
        <w:spacing w:after="0" w:line="192" w:lineRule="auto"/>
        <w:tabs>
          <w:tab w:leader="none" w:pos="1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Subgroup analysis (subjects with baseline GA lesions ≥5 mm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and ≤17.5 mm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demonstrates 33% reduction in lesion growth compared to</w:t>
      </w:r>
    </w:p>
    <w:p>
      <w:pPr>
        <w:ind w:left="1300"/>
        <w:spacing w:after="0" w:line="219" w:lineRule="auto"/>
        <w:rPr>
          <w:sz w:val="20"/>
          <w:szCs w:val="20"/>
          <w:color w:val="auto"/>
        </w:rPr>
      </w:pPr>
      <w:r>
        <w:rPr>
          <w:rFonts w:ascii="Times New Roman" w:cs="Times New Roman" w:eastAsia="Times New Roman" w:hAnsi="Times New Roman"/>
          <w:sz w:val="18"/>
          <w:szCs w:val="18"/>
          <w:color w:val="auto"/>
        </w:rPr>
        <w:t>control in medium dose OCU410 with similar reductions in the high dose group</w:t>
      </w:r>
    </w:p>
    <w:p>
      <w:pPr>
        <w:ind w:left="660"/>
        <w:spacing w:after="0" w:line="243" w:lineRule="auto"/>
        <w:rPr>
          <w:sz w:val="20"/>
          <w:szCs w:val="20"/>
          <w:color w:val="auto"/>
        </w:rPr>
      </w:pPr>
      <w:r>
        <w:rPr>
          <w:rFonts w:ascii="Times New Roman" w:cs="Times New Roman" w:eastAsia="Times New Roman" w:hAnsi="Times New Roman"/>
          <w:sz w:val="18"/>
          <w:szCs w:val="18"/>
          <w:color w:val="auto"/>
        </w:rPr>
        <w:t>The Phase 2 clinical trial builds directly on the clean safety profile observed in Phase 1 with no OCU410-related serious adverse events observed and no cases of endophthalmitis, retinal detachment, vasculitis, choroidal neovascularization, or ischemic optic neuropathy reported to date.</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to meet with FDA/EMA to align on the Phase 3 study design and initiate the Phase 3 study by the third quarter of 2026.</w:t>
      </w:r>
    </w:p>
    <w:p>
      <w:pPr>
        <w:spacing w:after="0" w:line="23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Programs </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b w:val="1"/>
          <w:bCs w:val="1"/>
          <w:color w:val="auto"/>
        </w:rPr>
      </w:pPr>
    </w:p>
    <w:p>
      <w:pPr>
        <w:jc w:val="both"/>
        <w:ind w:left="660"/>
        <w:spacing w:after="0" w:line="24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Novel Biologic Therapy for Retinal Diseases </w:t>
      </w:r>
      <w:r>
        <w:rPr>
          <w:rFonts w:ascii="Times New Roman" w:cs="Times New Roman" w:eastAsia="Times New Roman" w:hAnsi="Times New Roman"/>
          <w:sz w:val="18"/>
          <w:szCs w:val="18"/>
          <w:color w:val="auto"/>
        </w:rPr>
        <w:t>— OCU200 is a novel recombinant fusion protein consisting of two human proteins, tumstatin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transferrin. OCU200 possesses unique features which potentially enable it to treat vascular complications of diabetic macular edema ("DME"), diabetic retinopathy ("DR"), and wet age-related macular degeneration ("AMD"). Tumstatin is the active component of OCU200 and binds to integrin receptors, which play a crucial role in disease pathogenesis. Transferrin is expected to facilitate the targeted delivery of tumstatin into the retina and choroid and potentially help increase the interaction between tumstatin and integrin receptors. OCU200 Phase 1 clinical trial enrollment was completed in the first quarter of 2026.</w:t>
      </w:r>
    </w:p>
    <w:p>
      <w:pPr>
        <w:spacing w:after="0" w:line="219" w:lineRule="exact"/>
        <w:rPr>
          <w:rFonts w:ascii="Times New Roman" w:cs="Times New Roman" w:eastAsia="Times New Roman" w:hAnsi="Times New Roman"/>
          <w:sz w:val="18"/>
          <w:szCs w:val="18"/>
          <w:b w:val="1"/>
          <w:bCs w:val="1"/>
          <w:color w:val="auto"/>
        </w:rPr>
      </w:pPr>
    </w:p>
    <w:p>
      <w:pPr>
        <w:jc w:val="both"/>
        <w:ind w:left="6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Inhaled Mucosal Vaccine Platform </w:t>
      </w:r>
      <w:r>
        <w:rPr>
          <w:rFonts w:ascii="Times New Roman" w:cs="Times New Roman" w:eastAsia="Times New Roman" w:hAnsi="Times New Roman"/>
          <w:sz w:val="18"/>
          <w:szCs w:val="18"/>
          <w:color w:val="auto"/>
        </w:rPr>
        <w:t>— Our next-generation, inhaled mucosal vaccine platform includes OCU500, a COVID-19 vaccine.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completed IND-enabling studies and GMP manufacturing of clinical trial material for OCU500. The National Institute of Allergy and Infectious Diseases ("NIAID"), part of the National Institutes of Health ("NIH"), intends to initiate a Phase 1 clinical trial for OCU500 in the second quarter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Novel Modifier Gene Therapy Platform</w:t>
      </w:r>
    </w:p>
    <w:p>
      <w:pPr>
        <w:spacing w:after="0" w:line="22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We are developing a modifier gene therapy platform designed to fulfill unmet medical needs related to retinal diseases, including IRDs, such as RP, ST; and multifactorial diseases such as dAMD. Our modifier gene therapy platform is based on the use of NHRs, which have the potential to achieve homeostasis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the basic biological processes in the retina to restore a healthy state from a diseased state. Unlike single gene replacement therapies, which only target one genetic mutation, our modifier gene therapy platform, through its use of NHRs, represents a unique, gene-agnostic approach designed to address not just the mutated gene but provide a molecular "reset" of health and survival of gene networks. OCU400, our lead product candidate in our modifier gene therapy platform, has received ODD from the FDA for RP and LCA, a RMAT designation for the treatment of RP associated with NR2E3 and RHO mutations from the FDA, and OMPD from the EC, based on the recommendation of the EMA, for RP and LCA. These broad ODD, RMAT, and OMPD designations further support the broad (gene-agnostic) therapeutic potential of OCU400 to treat RP associated with mutations in multiple genes.</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OCU410 and OCU410ST are being developed utilizing the RORA (RAR Related Orphan Receptor A) gene for the treatment of GA secondary to dAMD and ST, respectively. OCU410 is a potential one-time, curative therapy with a single sub-retinal injection that targets multiple pathways associated with AMD pathogenesis, in contrast to products currently approved or under development that treat only one cause of GA, require multiple injections per year, and have safety considerations. OCU410ST has received ODD from the FDA and OMPD from the EMA for the treatment of </w:t>
      </w:r>
      <w:r>
        <w:rPr>
          <w:rFonts w:ascii="Times New Roman" w:cs="Times New Roman" w:eastAsia="Times New Roman" w:hAnsi="Times New Roman"/>
          <w:sz w:val="18"/>
          <w:szCs w:val="18"/>
          <w:i w:val="1"/>
          <w:iCs w:val="1"/>
          <w:color w:val="auto"/>
        </w:rPr>
        <w:t>ABCA4</w:t>
      </w:r>
      <w:r>
        <w:rPr>
          <w:rFonts w:ascii="Times New Roman" w:cs="Times New Roman" w:eastAsia="Times New Roman" w:hAnsi="Times New Roman"/>
          <w:sz w:val="18"/>
          <w:szCs w:val="18"/>
          <w:color w:val="auto"/>
        </w:rPr>
        <w:t>-associated retinopathies (&gt;1200 mutations) including ST, RP19, and cone-rod dystrophy 3 (CORD3), and has the potential to be the first approved therapy to treat ST.</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OCU410ST/OCU410 utilizes a first-in-class modifier gene therapy approach by delivering the human RORA gene to diseased retinal tissue via subretinal AAV5 delivery. RORA modulates lipid metabolism, oxidative stress, and inflammation key drivers of retinal degeneration that restores retinal homeostasis by offering a unique four-way disease-modifying potential.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there is significant economic burden of vision loss diseases in the US. ST and GA are major contributors to vision loss. OCU410 has the potential to reduce treatment costs, prevent vision-related disability, and ease the broader healthcare and societal burden driven by structural and functional vision loss.</w:t>
      </w:r>
    </w:p>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February 2025, we announced that alignment has been reached with the FDA to move forward with a Phase 2/3 pivotal confirmatory clinical trial for OCU410ST which can be the basis of a BLA submission. The GARDian Phase 2/3 clinical trial randomized 63 subjects. The primary endpoint in the clinical trial is change in atrophic lesion size. Secondary endpoints include visual acuity as measured by best corrected visual acuity and LLVA compared to untreated controls. One-year data will be utilized for the BLA filing. The Phase 2/3 pivotal confirmatory trial has adaptive design with sample size re-estimation. OCU410ST is intended for early to advanced cases of ST. The masked interim analysis for the OCU410ST Phase 2/3 GARDian3 trial in Stargardt disease is on track as planned for mid-2026 for 24 subjects (16 treated, 8 controls) who have completed 8 months in the trial.</w:t>
      </w: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latest data from the OCU410ST Phase 1 clinical trial demonstrates that atrophic lesions grew slower by 54% at 12 months for evaluable treated subjects when compared to untreated fellow eyes. In the secondary endpoint- Best Corrected Visual Acuity (BCVA), treated eyes showed an improvement with 1-line (6ETDRS Letter) gain in the visual acuity when compared to untreated fellow eyes. Additionally, 100% of evaluable treated eyes demonstrated stabilization or improvement vs. untreated eyes in visual function.").</w:t>
      </w:r>
    </w:p>
    <w:p>
      <w:pPr>
        <w:spacing w:after="0" w:line="193" w:lineRule="exact"/>
        <w:rPr>
          <w:sz w:val="20"/>
          <w:szCs w:val="20"/>
          <w:color w:val="auto"/>
        </w:rPr>
      </w:pPr>
    </w:p>
    <w:p>
      <w:pPr>
        <w:ind w:right="680"/>
        <w:spacing w:after="0" w:line="296" w:lineRule="auto"/>
        <w:rPr>
          <w:sz w:val="20"/>
          <w:szCs w:val="20"/>
          <w:color w:val="auto"/>
        </w:rPr>
      </w:pPr>
      <w:r>
        <w:rPr>
          <w:rFonts w:ascii="Times New Roman" w:cs="Times New Roman" w:eastAsia="Times New Roman" w:hAnsi="Times New Roman"/>
          <w:sz w:val="17"/>
          <w:szCs w:val="17"/>
          <w:color w:val="auto"/>
        </w:rPr>
        <w:t>In January 2026, the Company announced publication of Phase 1 GARDian1 Trial results for OCU410ST. The study supports the favorable safety, tolerability and efficacy profile of OCU410ST and its potential to provide clinically meaningful functional and structural benefits in ST patients.</w:t>
      </w:r>
    </w:p>
    <w:p>
      <w:pPr>
        <w:spacing w:after="0" w:line="16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OCU410ST Phase 1 clinical trial demonstrated that atrophic lesions grew slower by 54% at 12 months for evaluable treated subjects when compared to untreated fellow eyes. In the secondary endpoint, Best Corrected Visual Acuity (BCVA), treated eyes showed an improvement with 1-line (6 ETDRS Letter) gain in the visual acuity when compared to untreated fellow eyes. Additionally, 100% of evaluable treated eyes demonstrated stabilization or improvement vs. untreated eyes in visual function. In evaluable subjects (N=6) ellipsoid zone (EZ) loss rate was 116% slower in OCU410ST-treated eyes compared to untreated fellow eyes at 12 months, demonstrating preservation or stabilization in photoreceptor integrity. The untreated eyes showed expected decline in atrophy. In April 2026, the Company announced early completion of dosing in phase 2/3 pivotal confirmatory trial (N=63 subjects). GARDian 3 trial enrollment and dosing completed successfully in less than 9 months. We plan to submit the BLA for OCU410ST by mid-2027.</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Novel Biologic Therapy for Retinal Diseases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OCU200 is a novel recombinant fusion protein consisting of two human proteins, tumstatin and transferrin. OCU200 possesses unique features which potentially enable it to treat vascular complications of diabetic macular edema ("DME"), diabetic retinopathy ("DR"), and wet age-related macular degeneration ("AMD"). Tumstatin is the active component of OCU200 and binds to integrin receptors,which play a crucial role in disease pathogenesis. Transferrin is expected to facilitate the targeted delivery of tumstatin into the retina and choroid and potentially help increase the interaction between tumstatin and integrin receptors. OCU200 Phase 1 clinical trial enrollment was completed in the first quarter of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Inhaled Mucosal Vaccine Platform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party to the WU License Agreement with Washington University, pursuant to which we licensed the rights to develop, manufacture, and commercialize a mucosal COVID-19 vaccine for the prevention of COVID-19 in the Mucosal Vaccine Territory. In addition, we internally developed technology related to the flu and COVID-19's vaccine design and filed intellectual property. We are developing a next-generation, inhalation-based mucosal vaccine platform based on a novel ChAd vector, which includes OCU500, a COVID-19 vaccine. NIAID intends to initiate a Phase 1 clinical trial for OCU500 in the second quarter of 2026.</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three months ended March 31, 2026 and 2025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1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Collaborative arrangement revenue</w:t>
            </w:r>
          </w:p>
        </w:tc>
        <w:tc>
          <w:tcPr>
            <w:tcW w:w="980" w:type="dxa"/>
            <w:vAlign w:val="bottom"/>
            <w:tcBorders>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11,255</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0" w:type="dxa"/>
            <w:vAlign w:val="bottom"/>
          </w:tcPr>
          <w:p>
            <w:pPr>
              <w:spacing w:after="0"/>
              <w:rPr>
                <w:sz w:val="1"/>
                <w:szCs w:val="1"/>
                <w:color w:val="auto"/>
              </w:rPr>
            </w:pPr>
          </w:p>
        </w:tc>
      </w:tr>
      <w:tr>
        <w:trPr>
          <w:trHeight w:val="223"/>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19,372</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(17,839)</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(14,501)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0"/>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3"/>
        </w:trPr>
        <w:tc>
          <w:tcPr>
            <w:tcW w:w="6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Borders>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(19,177)</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(15,350)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 following table provides more transparency as to the type of research and development expenses incurred. The following table summarizes our research and development expenses by product candidate for the three months ended March 31, 2026 and 2025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82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OCU400</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29"/>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OCU410 and OCU410ST</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NeoCart</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COVAXIN</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Inhaled mucosal vaccine platform</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OCU200</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costs: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personnel costs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Facilities and other support costs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Collaborative arrangement revenue increased by $0.1 million for the three months ended March 31, 2026 compared to the three months ended March 31, 2025. The change was due to our quarterly reassessment of the amount of co-development services provided by us to the business partner in the collaboration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$1.7 million for the three months ended March 31, 2026 compared to the three months ended March 31, 2025. The increase was primarily due to $1.5 million in employee-related expenses due to an increase in the number of employees and $1.4 million related to OCU410/410ST clinical activities for confirmatory Phase 2/3 clinical trial. This is offset by decrease in $(0.5) million related to OCU400, which is due to reduced manufacturing service fee, and a decrease in ($0.4) million related to consulting expense as compared to the quarter ended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increased by $1.7 million for the three months ended March 31, 2026 compared to the three months ended March 31, 2025. This increase was primarily due to the increase in the number of employees and related personnel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decreased by $0.2 million for the three months ended March 31, 2026 compared to the three months ended March 31, 2025. The decrease was primarily due to a lower average cash balance for the quarter ending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net increased by $0.1 million for the three months ended March 31, 2026 compared to the three months ended March 31, 2025. The increase was primarily due to an increase in interest expense related to the Loan and Security Agreement which was entered in November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we had $31.9 million in cash and cash equivalents. We have not generated revenue from our product candidates to date, and have primarily funded our operations through the sale of common stock, warrants to purchase common stock, the issuance of convertible notes and debt, and grant proceeds. Since our inception and through March 31, 2026, we have raised an aggregate of $427.8 million to fund our operations, of which $383.1 million was from gross proceeds from the sale of our common stock and warrants, $10.3 million was from the issuance of convertible notes, $33.4 million was from the issuance of debt, $0.8 million was from the royalty agreement and $0.2 million was from grant proceeds.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inception, we have devoted substantial resources to research and development and have incurred significant net losses and may continue to incur net losses in the future. We incurred net losses of approximately $19.2 million and $15.4 million for the three months ended March 31, 2026 and 2025, respectively. As of March 31, 2026, we had an accumulated deficit of $427.2 million. In addition, we had accounts payable and accrued expenses and other current liabilities of $14.9 million and indebtedness of $29.2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flows for the three months ended March 31, 2026 and 2025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(19,357)</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changes in exchange rate on cash and restricted cash</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restricted cash</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7, 2026, we completed our previously announced private offering of $115.0 million aggregate principal amount of 6.75% Convertible Senior Notes due 2034 (the “notes”). The notes are general unsecured obligations and bear interest at a rate of 6.75% per year, payable semi-annually in arrears on May 15 and November 15 of each year, beginning on November 15, 2026. The notes mature on May 15, 2034, unless earlier repurchased, redeemed or</w:t>
      </w:r>
    </w:p>
    <w:p>
      <w:pPr>
        <w:jc w:val="both"/>
        <w:spacing w:after="0" w:line="282" w:lineRule="auto"/>
        <w:rPr>
          <w:sz w:val="20"/>
          <w:szCs w:val="20"/>
          <w:color w:val="auto"/>
        </w:rPr>
      </w:pPr>
      <w:r>
        <w:rPr>
          <w:rFonts w:ascii="Times New Roman" w:cs="Times New Roman" w:eastAsia="Times New Roman" w:hAnsi="Times New Roman"/>
          <w:sz w:val="18"/>
          <w:szCs w:val="18"/>
          <w:color w:val="auto"/>
        </w:rPr>
        <w:t>converted. W</w:t>
      </w:r>
      <w:r>
        <w:rPr>
          <w:rFonts w:ascii="Times New Roman" w:cs="Times New Roman" w:eastAsia="Times New Roman" w:hAnsi="Times New Roman"/>
          <w:sz w:val="18"/>
          <w:szCs w:val="18"/>
          <w:color w:val="231F20"/>
        </w:rPr>
        <w:t>e used a portion of the proceeds to fully repay our obligations under</w:t>
      </w:r>
      <w:r>
        <w:rPr>
          <w:rFonts w:ascii="Times New Roman" w:cs="Times New Roman" w:eastAsia="Times New Roman" w:hAnsi="Times New Roman"/>
          <w:sz w:val="18"/>
          <w:szCs w:val="18"/>
          <w:color w:val="auto"/>
        </w:rPr>
        <w:t xml:space="preserve"> the Loan and Security Agreement that the Company is party to with Avenue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Venture Opportunities Fund II, L.P. and Avenue Venture Opportunities Fund, L.P. as lenders and Avenue Capital Management II, L.P. as administrative agent and collateral agent (the “Avenue Loan Agreement”), including payment of the related prepayment fee and expenses, and terminate the Avenue Loan</w:t>
      </w:r>
    </w:p>
    <w:p>
      <w:pPr>
        <w:spacing w:after="0" w:line="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Agreement and all related loan documents. See Note 16—Subsequent Events in the notes to the condensed consolidated financial statements included in this Quarterly Report on Form 10-Q for additional details regarding the issuance of the notes.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$21.8 million for the three months ended March 31, 2026, and primarily consisted of a net loss of $19.2 million adjusted for non-cash items including stock-based compensation of $3.4 million, depreciation and amortization of $1.0 million, non-cash lease expense of $0.3 million, other non-cash items of $(0.7) million, and a change in net working capital of $6.6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$19.4 million for the three months ended March 31, 2025, and primarily consisted of a net loss of $15.4 million adjusted for non-cash items including stock-based compensation of $1.9 million, depreciation and amortization of $0.9 million, non-cash lease expense of $0.3 million, other non-cash items of $0.6 million, and a change in net working capital of $6.5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by investing activities was immaterial for the three months ended March 31, 2026, and primarily consisted of payments related to the purchases of property and equipment. Cash used by investing activities was $0.1 million for the three months ended March 31, 2025, and primarily consisted of payments related to the purchases of property and equipment.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provided by financing activities was $35.0 million for the three months ended March 31, 2026 compared to cash used in financing activities of $1.2 million for the three months ended March 31, 2025. In January 2026, the Company completed an underwritten registered direct offering of 15.0 million shares of common stock at an offering price of $1.50 per share of common stock, resulting in gross proceeds of $22.5 million. The Company received net proceeds of approximately $20.7 million, after deducting commissions and other offering expenses. During the three months ended March 31, 2026, the holder exercised warrants to purchase 10 million shares of common stock for aggregate net proceeds of approximately $14.2 million. The warrants were exercised at an exercise price of $1.50 per share.</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cash used by financing activities was $1.2 million primarily consisted of a payment related to the EB-5 Loan Agreement.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commitments under certain licensing and development agreements, lease obligations, debt agreements, and consulting agreements. There have been no material changes to our contractual obligations as reported in our 2025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continue to incur significant expenses in connection with our ongoing activities, particularly as we continue research and development, including preclinical and clinical development of our product candidates, prepare to manufacture our product candidates, prepare for the potential commercialization of our product candidates, add operational, financial, and information systems to execute our business plan, maintain, expand, and protect our patent portfolio, explore strategic licensing, acquisition, and collaboration opportunities to expand our product candidate pipeline to support our future growth; expand headcount to support our development, commercialization, and business efforts, and operate as a public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impacting our future funding requirements include, without limitation, the following:</w:t>
      </w:r>
    </w:p>
    <w:p>
      <w:pPr>
        <w:spacing w:after="0" w:line="117"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and submission of INDs with the FDA for current and future product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the regulatory approval process for our product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and commercialization;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doing business internationally with respect to the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us;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or in-licensing of additional product candidates and technologies;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infrastructure to support our development, commercialization, and business efforts, including the costs related to the development of a laboratory and manufacturing facility;</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recruiting and retaining skilled personnel;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other products, product candidates, or technologies and out-license our product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turmoil, macroeconomic conditions, social unrest, political instability, terrorism, or other acts of war;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tariffs and indirect trade restraints, including increased costs associated with global and retaliatory tariff policies.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we had cash and cash equivalents of approximately $31.9 million. This amount will not meet our capital requirements over the next 12 months. Due to the inherent uncertainty involved in making estimates and the risks associated with the research, development, and commercialization of biotechnology products, this estimate may be based on assumptions that may prove to be wrong, and our operating plan may change as a result of many factors currently unknown to us.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risks and uncertainties frequently encountered by companies in the biotech industry, and while we intend to continue research, development, and commercialization efforts for our product candidates, we will require significant additional funding. If we are unable to obtain additional funding in the future and/or our research, development, and commercialization efforts require higher than anticipated capital, there will be a negative impact on our financial viability. We will continue to explore options to fund our operations through public and private placements of equity and/or debt, payments from potential strategic research and development arrangements, sales of assets, licensing and/or collaboration arrangements with pharmaceutical companies or other institutions, funding from the government, particularly for the development of our novel inhaled mucosal vaccine platform, or funding from other third parties. Such financing and funding may not be available at all, or on terms that are favorable to us. While management believes that we have a plan to fund operations, our plan may not be successfully implemented. If we cannot obtain the necessary funding, we will need to delay, scale back, or eliminate some or all of our research and development programs and commercialization efforts; consider other various strategic alternatives, including a merger or sale; or cease operations. If we cannot expand our operations or otherwise capitalize on our business opportunities because we lack sufficient capital, our business, financial condition, and results of operations could be materially adversely affected.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these factors, together with the anticipated continued spending that will be necessary to continue to research, develop, and commercialize our product candidates, there is substantial doubt about our ability to continue as a going concern within one year after the date that the condensed consolidated financial statements included in this Quarterly Report on Form 10-Q are 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have any off-balance sheet arrangements during the periods presented, and we do not currently have any off-balance sheet arrangements as defined in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judgments, estimates, and assumptions in the preparation of our condensed consolidated financial statements. Actual results could differ from those estimates. There have been no material changes to our critical accounting policies and estimates as reported in our 2025 Annual Report.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recently adopted accounting pronouncements, see Note 2 in the notes to the condensed consolidated financial statements included in this Quarterly Report on Form 10-Q.</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Exchange Act), as of March 31, 2026. Based upon this evaluation, our principal executive officer and principal financial officer concluded that, as of the end of the period covered by this report, our disclosure controls and procedures are effective in ensuring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disclosures.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legal proceedings, see Note 14 in the notes to the condensed consolidated financial statements included in this Quarterly Report on Form 10-Q.</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in our risk factors as previously disclosed in our 2025 Annual Report. Additional risks and uncertainties not currently known to us or that we currently deem to be immaterial may also materially adversely affect our business, financial condition, or future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231F20"/>
        </w:rPr>
        <w:t>Our indebtedness could adversely affect our liquidity, financial condition and our ability to fulfill our obligations and operate our business.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231F20"/>
        </w:rPr>
        <w:t xml:space="preserve">As of March 31, 2026, our total outstanding indebtedness was approximately $28.8 million of indebtedness, all of which was secured, </w:t>
      </w:r>
      <w:r>
        <w:rPr>
          <w:rFonts w:ascii="Times New Roman" w:cs="Times New Roman" w:eastAsia="Times New Roman" w:hAnsi="Times New Roman"/>
          <w:sz w:val="18"/>
          <w:szCs w:val="18"/>
          <w:color w:val="000000"/>
        </w:rPr>
        <w:t>and approximately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$0.3 million of finance obligations secured in part by restricted cas</w:t>
      </w:r>
      <w:r>
        <w:rPr>
          <w:rFonts w:ascii="Times New Roman" w:cs="Times New Roman" w:eastAsia="Times New Roman" w:hAnsi="Times New Roman"/>
          <w:sz w:val="18"/>
          <w:szCs w:val="18"/>
          <w:color w:val="231F20"/>
        </w:rPr>
        <w:t>h. On May 7, 2026, we completed a financing transaction involving the issuance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$115.0 million in aggregate principle amount of convertible senior notes, and we used a portion of the proceeds to fully repay our obligations under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Avenue Loan Agreement, including payment of the related prepayment fee and expenses, and terminate the Avenue Loan Agreement and all related loan document</w:t>
      </w:r>
      <w:r>
        <w:rPr>
          <w:rFonts w:ascii="Times New Roman" w:cs="Times New Roman" w:eastAsia="Times New Roman" w:hAnsi="Times New Roman"/>
          <w:sz w:val="18"/>
          <w:szCs w:val="18"/>
          <w:color w:val="231F20"/>
        </w:rPr>
        <w:t>s. However, we continue to have significant indebtedness and debt service obligations, and we may incur additional indebtedness in the future.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indebtedness could have negative consequences on our future operations, including:</w:t>
      </w:r>
    </w:p>
    <w:p>
      <w:pPr>
        <w:spacing w:after="0" w:line="225" w:lineRule="exact"/>
        <w:rPr>
          <w:sz w:val="20"/>
          <w:szCs w:val="20"/>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satisfying our obligations with respect to our outstanding debt;</w:t>
      </w:r>
    </w:p>
    <w:p>
      <w:pPr>
        <w:spacing w:after="0" w:line="238"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obtaining financing in the future for working capital, capital expenditures, acquisitions, or other purposes;</w:t>
      </w:r>
    </w:p>
    <w:p>
      <w:pPr>
        <w:spacing w:after="0" w:line="238"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vulnerability to general economic downturns and adverse industry conditions could increase;</w:t>
      </w:r>
    </w:p>
    <w:p>
      <w:pPr>
        <w:spacing w:after="0" w:line="238"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flexibility in planning for, or reacting to, changes in our business and in our industry in general could be limited; and</w:t>
      </w:r>
    </w:p>
    <w:p>
      <w:pPr>
        <w:spacing w:after="0" w:line="238" w:lineRule="exact"/>
        <w:rPr>
          <w:rFonts w:ascii="Times New Roman" w:cs="Times New Roman" w:eastAsia="Times New Roman" w:hAnsi="Times New Roman"/>
          <w:sz w:val="18"/>
          <w:szCs w:val="18"/>
          <w:color w:val="auto"/>
        </w:rPr>
      </w:pPr>
    </w:p>
    <w:p>
      <w:pPr>
        <w:ind w:firstLine="8"/>
        <w:spacing w:after="0" w:line="266" w:lineRule="auto"/>
        <w:tabs>
          <w:tab w:leader="none" w:pos="33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and the amount we must pay to service our debt obligations could place us at a competitive disadvantage compared to our competitors, who may have less debt.</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ability to generate cash to repay our indebtedness is subject to the performance of our business, as well as general economic, financial, competitive, and other factors that are beyond our control. If future borrowings are not available to us in amounts sufficient to enable us to fund our liquidity needs, our operating results and financial condition may be adversely affected. In particular, if we are unable to access the capital markets on acceptable terms, reduce cash burn, improve margins and cash flows, or otherwise raise or generate sufficient liquidity, we may be unable to fund operations, make required capital investments, or satisfy our debt obligations when due.</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We have a limited number of authorized shares of common stock available for issuance and will need to seek stockholder approval to amend our certificate of incorporation, as amended, to either effect a reverse stock split or increase the number of authorized shares of common stock.</w:t>
      </w:r>
    </w:p>
    <w:p>
      <w:pPr>
        <w:spacing w:after="0" w:line="1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Immediately following the closing of the offering of our senior convertible notes due 2034, we will not have a sufficient number of authorized and unissued shares to permit conversion of the notes into shares of our common stock. We will seek stockholder approval of an amendment to our certificate of incorporation, as amended, to either (i) increase the number of authorized shares of our common stock that results in a number of authorized and unissued shares of our common stock at least sufficient to cover the maximum number of conversion shares or (ii) effect a reverse stock split, which would have the effect of reducing the number of issued shares and thereby increase the authorized shares of common stock available for issuance to permit the conversion in full of the notes into shares of our common stock. If we do not receive that stockholder approval and reserve a sufficient number of authorized but unissued shares, we will be required to settle all conversions in cash, which could cause a significant cash outflow that would materially impact our liquidity and ability to fund operations.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231F20"/>
        </w:rPr>
        <w:t>We may not have the ability to raise the funds necessary to settle conversions of our senior convertible notes in cash or to repurchase the notes upon a fundamental change, repurchase the notes upon exercise of a holder put right, and our future debt may contain limitations on our ability to pay cash upon conversion or repurchase of the notes.</w:t>
      </w:r>
    </w:p>
    <w:p>
      <w:pPr>
        <w:spacing w:after="0" w:line="20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Holders of our senior convertible notes will have the right to require us to repurchase all or a portion of their notes upon the occurrence of a fundamental change before the maturity date at a repurchase price equal to 100% of the principal amount of the notes to be repurchased, plus accrued and unpaid interest, if any. Additionally, on May 15, 2032, holders of the senior convertible notes will have the right to require us to repurchase for cash all or any portion of their notes at 100% of the principal amount of the notes to be purchased, plus accrued and unpaid interest to, but excluding the specified repurchase date. In addition, upon conversion of the senior convertible notes, unless we elect to deliver solely shares of our common stock to settle such conversion (other than paying cash in lieu of delivering any fractional share), we will be required to make cash payments as part of the conversion consideration in respect of the notes being converted. Further, upon conversion of a senior convertible note, unless a holder converts that note after the close of business on a record date for an interest payment but on or prior to the corresponding interest payment date, we will be required to deliver to such converting holder a cash payment representing accrued and unpaid interest in respect of such note to, but excluding, the conversion date. However, we may not have enough available cash or be able to obtain financing at the time we are required to make repurchases of notes surrendered therefor or pay cash with respect to notes being converted. This risk will be exacerbated if we do not receive stockholder approval to amend our certificate of incorporation to effect a reverse stock split or to increase or authorized shares of common stock.</w:t>
      </w:r>
    </w:p>
    <w:p>
      <w:pPr>
        <w:spacing w:after="0" w:line="21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our ability to repurchase notes or to pay cash upon conversions of notes may be limited by law, regulatory authority or agreements governing our existing and future indebtedness. Our failure to repurchase the notes at a time when the repurchase is required by the respective indenture or to pay cash upon conversions of notes as required by the respective indenture would constitute a default under the indenture for that series of convertible notes and could also lead to a default under the indenture for the other series of convertible notes. A default under the indenture governing the notes or the fundamental change itself could also lead to a default under agreements governing our existing and future indebtedness. If the payment of the related indebtedness were to be accelerated after any applicable notice or grace periods, we may not have sufficient funds to repay the indebtedness and repurchase the notes or to pay cash upon conversions of notes.</w:t>
      </w:r>
    </w:p>
    <w:p>
      <w:pPr>
        <w:spacing w:after="0" w:line="212"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accounting method for the convertible debt securities that may be settled in cash, such as our senior convertible notes, could have a material effect on our reported financial results.</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August 2020, the Financial Accounting Standards Board published Accounting Standards Update 2020-06, Debt—Debt with Conversion and Other Options (Subtopic 470-20) and Derivatives and Hedging—Contracts in Entity’s Own Equity (Subtopic 815-40): Accounting for Convertible Instruments and Contracts in an Entity’s Own Equity (“ASU 2020-06”), which amends the accounting standards for convertible debt instruments that may be settled entirely or partially in cash upon conversion. Under ASU 2020-06, embedded conversion features are no longer separated from the host contract for convertible instruments with conversion features that are not required to be accounted for as derivatives under Accounting Standards Certification 815: Derivatives and Hedging, or that do not result in substantial premiums accounted for as paid-in capital. Consequently, a convertible debt instrument is accounted for as a single liability measured at its amortized cost, as long as no other features require bifurcation and recognition as a derivative. In addition, ASU 2020-06 eliminates the ability to use the treasury stock method for calculating diluted earnings per share for convertible debt instruments whose principal amount may be settled using shares. Instead, ASU 2020-06 requires application of the “if-converted” method for calculating diluted earnings per share.</w:t>
      </w: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will be permitted to settle conversions of our senior convertible notes in cash, shares of our common stock, or a combination thereof; therefore, the “if-converted” method for calculating diluted earnings per share will be required with respect to the notes. Under that method, diluted earnings per share would generally be calculated assuming that all of the notes were converted solely into shares of common stock at the beginning of the reporting period, unless the result would be anti-dilutive. The application of the “if-converted” method may reduce our reported diluted earnings per share.</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accounting standards have impacted and may in the future require us to reflect the senior convertible notes in a manner that adversely affects our reported diluted earnings per share, which could adversely affect our reported or future financial results and the trading price of our common stock.</w:t>
      </w:r>
    </w:p>
    <w:p>
      <w:pPr>
        <w:spacing w:after="0" w:line="200" w:lineRule="exact"/>
        <w:rPr>
          <w:sz w:val="20"/>
          <w:szCs w:val="20"/>
          <w:color w:val="auto"/>
        </w:rPr>
      </w:pPr>
    </w:p>
    <w:p>
      <w:pPr>
        <w:spacing w:after="0" w:line="2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Use of Proceeds, and Issuer Purchases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period covered by this Quarterly Report on Form 10-Q, there were no sales by us of unregistered securities or purchases of equity securities by us that were not previously reported by us in a Current Report on Form 8-K.</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as defined in Rule 16a-1(f) under the Securities Exchange Act of 1934, as amended, adopted or terminated a Rule 10b5-1 trading plan or arrangement or a non-Rule 10b5-1 trading plan or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or furnished in this Quarterly Report on Form 10-Q:</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6760" w:type="dxa"/>
            <w:vAlign w:val="bottom"/>
            <w:gridSpan w:val="8"/>
          </w:tcPr>
          <w:p>
            <w:pPr>
              <w:ind w:left="18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Indenture, dated as of May 7, 2026, between Ocugen, Inc. and U.S. Bank Trust Company, National Association (filed as</w:t>
              </w:r>
            </w:hyperlink>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Exhibit 4.1 to the Registrant’s Current Report on Form 8-K as filed on May 7, 2026 and incorporated herein by reference).</w:t>
              </w:r>
            </w:hyperlink>
          </w:p>
        </w:tc>
        <w:tc>
          <w:tcPr>
            <w:tcW w:w="380" w:type="dxa"/>
            <w:vAlign w:val="bottom"/>
            <w:gridSpan w:val="2"/>
          </w:tcPr>
          <w:p>
            <w:pPr>
              <w:spacing w:after="0"/>
              <w:rPr>
                <w:sz w:val="17"/>
                <w:szCs w:val="17"/>
                <w:color w:val="auto"/>
              </w:rPr>
            </w:pPr>
          </w:p>
        </w:tc>
      </w:tr>
      <w:tr>
        <w:trPr>
          <w:trHeight w:val="30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Form of 6.75% Convertible Senior Notes due 2034 (filed as Exhibit A to Exhibit 4.1 to the Registrant’s Current Report on</w:t>
              </w:r>
            </w:hyperlink>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Form 8-K as filed on May 7, 2026 and incorporated herein by reference).</w:t>
              </w:r>
            </w:hyperlink>
          </w:p>
        </w:tc>
        <w:tc>
          <w:tcPr>
            <w:tcW w:w="3940" w:type="dxa"/>
            <w:vAlign w:val="bottom"/>
            <w:gridSpan w:val="7"/>
          </w:tcPr>
          <w:p>
            <w:pPr>
              <w:spacing w:after="0"/>
              <w:rPr>
                <w:sz w:val="17"/>
                <w:szCs w:val="17"/>
                <w:color w:val="auto"/>
              </w:rPr>
            </w:pPr>
          </w:p>
        </w:tc>
      </w:tr>
      <w:tr>
        <w:trPr>
          <w:trHeight w:val="30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Amended and Restated Employment Agreement by and between Ocugen, Inc. and Treerita Johnson-Greene, effective as of</w:t>
              </w:r>
            </w:hyperlink>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February 9, 2026 (filed as Exhibit 10.1 to the Registrant’s Current Report on Form 8-K as filed on February 9, 2026 and</w:t>
              </w:r>
            </w:hyperlink>
          </w:p>
        </w:tc>
        <w:tc>
          <w:tcPr>
            <w:tcW w:w="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52">
              <w:r>
                <w:rPr>
                  <w:rFonts w:ascii="Times New Roman" w:cs="Times New Roman" w:eastAsia="Times New Roman" w:hAnsi="Times New Roman"/>
                  <w:sz w:val="18"/>
                  <w:szCs w:val="18"/>
                  <w:color w:val="0000FF"/>
                  <w:w w:val="98"/>
                </w:rPr>
                <w:t>incorporated herein by reference).</w:t>
              </w:r>
            </w:hyperlink>
          </w:p>
        </w:tc>
        <w:tc>
          <w:tcPr>
            <w:tcW w:w="6760" w:type="dxa"/>
            <w:vAlign w:val="bottom"/>
            <w:gridSpan w:val="8"/>
          </w:tcPr>
          <w:p>
            <w:pPr>
              <w:spacing w:after="0"/>
              <w:rPr>
                <w:sz w:val="17"/>
                <w:szCs w:val="17"/>
                <w:color w:val="auto"/>
              </w:rPr>
            </w:pPr>
          </w:p>
        </w:tc>
      </w:tr>
      <w:tr>
        <w:trPr>
          <w:trHeight w:val="30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Letter Agreement Regarding Equity Awards, dated as of January 20, 2026, between Ocugen, Inc. and Shankar Musunuri.</w:t>
            </w:r>
          </w:p>
        </w:tc>
      </w:tr>
      <w:tr>
        <w:trPr>
          <w:trHeight w:val="30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as required by Section 302 of the Sarbanes-Oxley Act of 2002</w:t>
            </w:r>
          </w:p>
        </w:tc>
        <w:tc>
          <w:tcPr>
            <w:tcW w:w="1000" w:type="dxa"/>
            <w:vAlign w:val="bottom"/>
            <w:tcBorders>
              <w:top w:val="single" w:sz="8" w:color="0000FF"/>
            </w:tcBorders>
          </w:tcPr>
          <w:p>
            <w:pPr>
              <w:spacing w:after="0"/>
              <w:rPr>
                <w:sz w:val="24"/>
                <w:szCs w:val="24"/>
                <w:color w:val="auto"/>
              </w:rPr>
            </w:pPr>
          </w:p>
        </w:tc>
        <w:tc>
          <w:tcPr>
            <w:tcW w:w="500" w:type="dxa"/>
            <w:vAlign w:val="bottom"/>
            <w:gridSpan w:val="3"/>
          </w:tcPr>
          <w:p>
            <w:pPr>
              <w:spacing w:after="0"/>
              <w:rPr>
                <w:sz w:val="24"/>
                <w:szCs w:val="24"/>
                <w:color w:val="auto"/>
              </w:rPr>
            </w:pPr>
          </w:p>
        </w:tc>
      </w:tr>
      <w:tr>
        <w:trPr>
          <w:trHeight w:val="30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as required by Section 302 of the Sarbanes-Oxley Act of 2002</w:t>
            </w:r>
          </w:p>
        </w:tc>
      </w:tr>
      <w:tr>
        <w:trPr>
          <w:trHeight w:val="30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Certifications of the Chief Executive Officer and Chief Financial Officer as required by 18 U.S.C. 1350</w:t>
            </w:r>
          </w:p>
        </w:tc>
        <w:tc>
          <w:tcPr>
            <w:tcW w:w="1560" w:type="dxa"/>
            <w:vAlign w:val="bottom"/>
            <w:gridSpan w:val="5"/>
          </w:tcPr>
          <w:p>
            <w:pPr>
              <w:spacing w:after="0"/>
              <w:rPr>
                <w:sz w:val="24"/>
                <w:szCs w:val="24"/>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74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760" w:type="dxa"/>
            <w:vAlign w:val="bottom"/>
            <w:gridSpan w:val="6"/>
          </w:tcPr>
          <w:p>
            <w:pPr>
              <w:spacing w:after="0"/>
              <w:rPr>
                <w:sz w:val="24"/>
                <w:szCs w:val="24"/>
                <w:color w:val="auto"/>
              </w:rPr>
            </w:pPr>
          </w:p>
        </w:tc>
      </w:tr>
      <w:tr>
        <w:trPr>
          <w:trHeight w:val="32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2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cover page from this Quarterly Report on Form 10-Q, formatted in Inline XBRL</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16"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00" w:lineRule="exact"/>
        <w:rPr>
          <w:sz w:val="20"/>
          <w:szCs w:val="20"/>
          <w:color w:val="auto"/>
        </w:rPr>
      </w:pPr>
    </w:p>
    <w:p>
      <w:pPr>
        <w:spacing w:after="0" w:line="3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121" w:right="1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21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Dated: May 7, 2026</w:t>
      </w:r>
      <w:r>
        <w:rPr>
          <w:sz w:val="20"/>
          <w:szCs w:val="20"/>
          <w:color w:val="auto"/>
        </w:rPr>
        <w:tab/>
      </w:r>
      <w:r>
        <w:rPr>
          <w:rFonts w:ascii="Times New Roman" w:cs="Times New Roman" w:eastAsia="Times New Roman" w:hAnsi="Times New Roman"/>
          <w:sz w:val="17"/>
          <w:szCs w:val="17"/>
          <w:color w:val="auto"/>
        </w:rPr>
        <w:t>/s/ Shankar Musunuri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35572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Shankar Musunuri, Ph.D., MBA</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Chairman, Chief Executive Officer, &amp; Co-Founder</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93"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Dated: May 7, 2026</w:t>
      </w:r>
      <w:r>
        <w:rPr>
          <w:sz w:val="20"/>
          <w:szCs w:val="20"/>
          <w:color w:val="auto"/>
        </w:rPr>
        <w:tab/>
      </w:r>
      <w:r>
        <w:rPr>
          <w:rFonts w:ascii="Times New Roman" w:cs="Times New Roman" w:eastAsia="Times New Roman" w:hAnsi="Times New Roman"/>
          <w:sz w:val="17"/>
          <w:szCs w:val="17"/>
          <w:color w:val="auto"/>
        </w:rPr>
        <w:t>/s/ Treerita Johnson-Greene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35572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Treerita Johnson-Greene, MBA</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21" w:right="339" w:bottom="1440" w:gutter="0" w:footer="0" w:header="0"/>
        </w:sectPr>
      </w:pPr>
    </w:p>
    <w:bookmarkStart w:id="39" w:name="page40"/>
    <w:bookmarkEnd w:id="39"/>
    <w:p>
      <w:pPr>
        <w:ind w:left="960"/>
        <w:spacing w:after="0"/>
        <w:rPr>
          <w:sz w:val="20"/>
          <w:szCs w:val="20"/>
          <w:color w:val="auto"/>
        </w:rPr>
      </w:pPr>
      <w:r>
        <w:rPr>
          <w:rFonts w:ascii="Times New Roman" w:cs="Times New Roman" w:eastAsia="Times New Roman" w:hAnsi="Times New Roman"/>
          <w:sz w:val="22"/>
          <w:szCs w:val="22"/>
          <w:b w:val="1"/>
          <w:bCs w:val="1"/>
          <w:color w:val="auto"/>
        </w:rPr>
        <w:t>LETTER AGREEMENT REGARDING EQUITY AWARDS</w:t>
      </w:r>
    </w:p>
    <w:p>
      <w:pPr>
        <w:spacing w:after="0" w:line="274" w:lineRule="exact"/>
        <w:rPr>
          <w:sz w:val="20"/>
          <w:szCs w:val="20"/>
          <w:color w:val="auto"/>
        </w:rPr>
      </w:pPr>
    </w:p>
    <w:p>
      <w:pPr>
        <w:jc w:val="both"/>
        <w:ind w:right="320" w:firstLine="648"/>
        <w:spacing w:after="0" w:line="262" w:lineRule="auto"/>
        <w:rPr>
          <w:sz w:val="20"/>
          <w:szCs w:val="20"/>
          <w:color w:val="auto"/>
        </w:rPr>
      </w:pPr>
      <w:r>
        <w:rPr>
          <w:rFonts w:ascii="Times New Roman" w:cs="Times New Roman" w:eastAsia="Times New Roman" w:hAnsi="Times New Roman"/>
          <w:sz w:val="22"/>
          <w:szCs w:val="22"/>
          <w:color w:val="auto"/>
        </w:rPr>
        <w:t>This Letter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entered into as of January 20, 2026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by and between Ocugen,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Shankar Musunuri (the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16" w:lineRule="exact"/>
        <w:rPr>
          <w:sz w:val="20"/>
          <w:szCs w:val="20"/>
          <w:color w:val="auto"/>
        </w:rPr>
      </w:pPr>
    </w:p>
    <w:p>
      <w:pPr>
        <w:jc w:val="both"/>
        <w:ind w:right="320" w:firstLine="648"/>
        <w:spacing w:after="0" w:line="263" w:lineRule="auto"/>
        <w:rPr>
          <w:sz w:val="20"/>
          <w:szCs w:val="20"/>
          <w:color w:val="auto"/>
        </w:rPr>
      </w:pPr>
      <w:r>
        <w:rPr>
          <w:rFonts w:ascii="Times New Roman" w:cs="Times New Roman" w:eastAsia="Times New Roman" w:hAnsi="Times New Roman"/>
          <w:sz w:val="21"/>
          <w:szCs w:val="21"/>
          <w:color w:val="auto"/>
        </w:rPr>
        <w:t>WHEREAS, the Company has adopted the 2019 Equity Incentive Plan, as amended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and, pursuant to the Plan and the applicable award agreements, the Participant has been granted certain equity awards, including (a) Performance Restricted Stock Units granted on January 2, 2026, with a target award covering 9,369,604 shares of common stock, 6,000,000 of which are subject to this Agreement (such applicable portion, the “</w:t>
      </w:r>
      <w:r>
        <w:rPr>
          <w:rFonts w:ascii="Times New Roman" w:cs="Times New Roman" w:eastAsia="Times New Roman" w:hAnsi="Times New Roman"/>
          <w:sz w:val="21"/>
          <w:szCs w:val="21"/>
          <w:b w:val="1"/>
          <w:bCs w:val="1"/>
          <w:color w:val="auto"/>
        </w:rPr>
        <w:t>2026 PSUs</w:t>
      </w:r>
      <w:r>
        <w:rPr>
          <w:rFonts w:ascii="Times New Roman" w:cs="Times New Roman" w:eastAsia="Times New Roman" w:hAnsi="Times New Roman"/>
          <w:sz w:val="21"/>
          <w:szCs w:val="21"/>
          <w:color w:val="auto"/>
        </w:rPr>
        <w:t>”); (b) stock options granted on January 2, 2026 to purchase 3,123,201 shares of common stock, 2,000,000 of which are subject to this Agreement (such applicable portion, the “</w:t>
      </w:r>
      <w:r>
        <w:rPr>
          <w:rFonts w:ascii="Times New Roman" w:cs="Times New Roman" w:eastAsia="Times New Roman" w:hAnsi="Times New Roman"/>
          <w:sz w:val="21"/>
          <w:szCs w:val="21"/>
          <w:b w:val="1"/>
          <w:bCs w:val="1"/>
          <w:color w:val="auto"/>
        </w:rPr>
        <w:t>Option Award</w:t>
      </w:r>
      <w:r>
        <w:rPr>
          <w:rFonts w:ascii="Times New Roman" w:cs="Times New Roman" w:eastAsia="Times New Roman" w:hAnsi="Times New Roman"/>
          <w:sz w:val="21"/>
          <w:szCs w:val="21"/>
          <w:color w:val="auto"/>
        </w:rPr>
        <w:t>”); and (c) Performance Restricted Stock Units granted on January 2, 2025, with a target award covering 1,388,889 shares of common stock, 1,000,000 of which are subject to this Agreement (such applicable portion, the “</w:t>
      </w:r>
      <w:r>
        <w:rPr>
          <w:rFonts w:ascii="Times New Roman" w:cs="Times New Roman" w:eastAsia="Times New Roman" w:hAnsi="Times New Roman"/>
          <w:sz w:val="21"/>
          <w:szCs w:val="21"/>
          <w:b w:val="1"/>
          <w:bCs w:val="1"/>
          <w:color w:val="auto"/>
        </w:rPr>
        <w:t>2025 PSUs</w:t>
      </w:r>
      <w:r>
        <w:rPr>
          <w:rFonts w:ascii="Times New Roman" w:cs="Times New Roman" w:eastAsia="Times New Roman" w:hAnsi="Times New Roman"/>
          <w:sz w:val="21"/>
          <w:szCs w:val="21"/>
          <w:color w:val="auto"/>
        </w:rPr>
        <w:t>”, together with the 2026 PSUs, the “</w:t>
      </w:r>
      <w:r>
        <w:rPr>
          <w:rFonts w:ascii="Times New Roman" w:cs="Times New Roman" w:eastAsia="Times New Roman" w:hAnsi="Times New Roman"/>
          <w:sz w:val="21"/>
          <w:szCs w:val="21"/>
          <w:b w:val="1"/>
          <w:bCs w:val="1"/>
          <w:color w:val="auto"/>
        </w:rPr>
        <w:t>PSUs</w:t>
      </w:r>
      <w:r>
        <w:rPr>
          <w:rFonts w:ascii="Times New Roman" w:cs="Times New Roman" w:eastAsia="Times New Roman" w:hAnsi="Times New Roman"/>
          <w:sz w:val="21"/>
          <w:szCs w:val="21"/>
          <w:color w:val="auto"/>
        </w:rPr>
        <w:t>” and, collectively with the Option Award, the “</w:t>
      </w:r>
      <w:r>
        <w:rPr>
          <w:rFonts w:ascii="Times New Roman" w:cs="Times New Roman" w:eastAsia="Times New Roman" w:hAnsi="Times New Roman"/>
          <w:sz w:val="21"/>
          <w:szCs w:val="21"/>
          <w:b w:val="1"/>
          <w:bCs w:val="1"/>
          <w:color w:val="auto"/>
        </w:rPr>
        <w:t>Awards</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jc w:val="both"/>
        <w:ind w:right="320" w:firstLine="648"/>
        <w:spacing w:after="0" w:line="263" w:lineRule="auto"/>
        <w:rPr>
          <w:sz w:val="20"/>
          <w:szCs w:val="20"/>
          <w:color w:val="auto"/>
        </w:rPr>
      </w:pPr>
      <w:r>
        <w:rPr>
          <w:rFonts w:ascii="Times New Roman" w:cs="Times New Roman" w:eastAsia="Times New Roman" w:hAnsi="Times New Roman"/>
          <w:sz w:val="22"/>
          <w:szCs w:val="22"/>
          <w:color w:val="auto"/>
        </w:rPr>
        <w:t>WHEREAS, as of the Effective Date, the number of authorized shares of the Company’s common stock under the Company’s certificate of incorporation is insufficient to satisfy the full issuance of shares that could otherwise become issuable upon the exercise or settlement of the Awards;</w:t>
      </w:r>
    </w:p>
    <w:p>
      <w:pPr>
        <w:spacing w:after="0" w:line="154"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22"/>
          <w:szCs w:val="22"/>
          <w:color w:val="auto"/>
        </w:rPr>
        <w:t>WHEREAS, the Company intends to obtain stockholder approval to amend its certificate of incorporation to increase the number of authorized shares of common stock (the “</w:t>
      </w:r>
      <w:r>
        <w:rPr>
          <w:rFonts w:ascii="Times New Roman" w:cs="Times New Roman" w:eastAsia="Times New Roman" w:hAnsi="Times New Roman"/>
          <w:sz w:val="22"/>
          <w:szCs w:val="22"/>
          <w:b w:val="1"/>
          <w:bCs w:val="1"/>
          <w:color w:val="auto"/>
        </w:rPr>
        <w:t>Authorized Share Increase</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right="320" w:firstLine="648"/>
        <w:spacing w:after="0" w:line="250" w:lineRule="auto"/>
        <w:rPr>
          <w:sz w:val="20"/>
          <w:szCs w:val="20"/>
          <w:color w:val="auto"/>
        </w:rPr>
      </w:pPr>
      <w:r>
        <w:rPr>
          <w:rFonts w:ascii="Times New Roman" w:cs="Times New Roman" w:eastAsia="Times New Roman" w:hAnsi="Times New Roman"/>
          <w:sz w:val="22"/>
          <w:szCs w:val="22"/>
          <w:color w:val="auto"/>
        </w:rPr>
        <w:t>WHEREAS, the Company and the Participant agreed to suspend the exercisability of the Option Award and the settlement of the PSU Awards as set forth below, subject to and conditioned upon the effectiveness of the Authorized Share Increase.</w:t>
      </w:r>
    </w:p>
    <w:p>
      <w:pPr>
        <w:spacing w:after="0" w:line="181" w:lineRule="exact"/>
        <w:rPr>
          <w:sz w:val="20"/>
          <w:szCs w:val="20"/>
          <w:color w:val="auto"/>
        </w:rPr>
      </w:pPr>
    </w:p>
    <w:p>
      <w:pPr>
        <w:jc w:val="both"/>
        <w:ind w:right="34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and the mutual agreements set forth herein, the parties agree as follows:</w:t>
      </w:r>
    </w:p>
    <w:p>
      <w:pPr>
        <w:spacing w:after="0" w:line="144" w:lineRule="exact"/>
        <w:rPr>
          <w:sz w:val="20"/>
          <w:szCs w:val="20"/>
          <w:color w:val="auto"/>
        </w:rPr>
      </w:pPr>
    </w:p>
    <w:p>
      <w:pPr>
        <w:ind w:left="1300" w:hanging="643"/>
        <w:spacing w:after="0"/>
        <w:tabs>
          <w:tab w:leader="none" w:pos="13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Award</w:t>
      </w:r>
      <w:r>
        <w:rPr>
          <w:rFonts w:ascii="Times New Roman" w:cs="Times New Roman" w:eastAsia="Times New Roman" w:hAnsi="Times New Roman"/>
          <w:sz w:val="22"/>
          <w:szCs w:val="22"/>
          <w:color w:val="auto"/>
        </w:rPr>
        <w:t>.</w:t>
      </w:r>
    </w:p>
    <w:p>
      <w:pPr>
        <w:spacing w:after="0" w:line="215" w:lineRule="exact"/>
        <w:rPr>
          <w:rFonts w:ascii="Times New Roman" w:cs="Times New Roman" w:eastAsia="Times New Roman" w:hAnsi="Times New Roman"/>
          <w:sz w:val="22"/>
          <w:szCs w:val="22"/>
          <w:color w:val="auto"/>
        </w:rPr>
      </w:pPr>
    </w:p>
    <w:p>
      <w:pPr>
        <w:ind w:right="320" w:firstLine="1304"/>
        <w:spacing w:after="0" w:line="262" w:lineRule="auto"/>
        <w:tabs>
          <w:tab w:leader="none" w:pos="1941"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Vesting</w:t>
      </w:r>
      <w:r>
        <w:rPr>
          <w:rFonts w:ascii="Times New Roman" w:cs="Times New Roman" w:eastAsia="Times New Roman" w:hAnsi="Times New Roman"/>
          <w:sz w:val="22"/>
          <w:szCs w:val="22"/>
          <w:color w:val="auto"/>
        </w:rPr>
        <w:t>. Vesting of the Option Award shall continue in accordance with the terms of the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agreement and the Plan.</w:t>
      </w:r>
    </w:p>
    <w:p>
      <w:pPr>
        <w:spacing w:after="0" w:line="17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b w:val="1"/>
          <w:bCs w:val="1"/>
          <w:color w:val="auto"/>
        </w:rPr>
        <w:t>Suspension of Exercise</w:t>
      </w:r>
      <w:r>
        <w:rPr>
          <w:rFonts w:ascii="Times New Roman" w:cs="Times New Roman" w:eastAsia="Times New Roman" w:hAnsi="Times New Roman"/>
          <w:sz w:val="22"/>
          <w:szCs w:val="22"/>
          <w:color w:val="auto"/>
        </w:rPr>
        <w:t>. Notwithstanding anything to the contrary in the applicable award agreement or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Participant hereby agrees not to exercise any portion of the Option Award prior to the effective date of the Authorized Share Increase. Any attempted exercise in violation of this Section 1(b) shall be null and void. For the avoidance of doubt, nothing in this Agreement shall be construed to (i) extend the stated term or expiration date of the Option</w:t>
      </w:r>
    </w:p>
    <w:p>
      <w:pPr>
        <w:sectPr>
          <w:pgSz w:w="11900" w:h="16838" w:orient="portrait"/>
          <w:cols w:equalWidth="0" w:num="1">
            <w:col w:w="11240"/>
          </w:cols>
          <w:pgMar w:left="320" w:top="1404" w:right="339" w:bottom="1440" w:gutter="0" w:footer="0" w:header="0"/>
        </w:sectPr>
      </w:pPr>
    </w:p>
    <w:bookmarkStart w:id="40" w:name="page41"/>
    <w:bookmarkEnd w:id="40"/>
    <w:p>
      <w:pPr>
        <w:spacing w:after="0" w:line="198"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22"/>
          <w:szCs w:val="22"/>
          <w:color w:val="auto"/>
        </w:rPr>
        <w:t>Award, (ii) extend or modify any post-termination exercise period applicable to the Option Award, or (iii) otherwise affect the forfeiture provisions applicable to the Option Award.</w:t>
      </w:r>
    </w:p>
    <w:p>
      <w:pPr>
        <w:spacing w:after="0" w:line="154" w:lineRule="exact"/>
        <w:rPr>
          <w:sz w:val="20"/>
          <w:szCs w:val="20"/>
          <w:color w:val="auto"/>
        </w:rPr>
      </w:pPr>
    </w:p>
    <w:p>
      <w:pPr>
        <w:jc w:val="both"/>
        <w:ind w:right="320" w:firstLine="1304"/>
        <w:spacing w:after="0" w:line="252" w:lineRule="auto"/>
        <w:tabs>
          <w:tab w:leader="none" w:pos="1939"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Extension of Option Term</w:t>
      </w:r>
      <w:r>
        <w:rPr>
          <w:rFonts w:ascii="Times New Roman" w:cs="Times New Roman" w:eastAsia="Times New Roman" w:hAnsi="Times New Roman"/>
          <w:sz w:val="22"/>
          <w:szCs w:val="22"/>
          <w:color w:val="auto"/>
        </w:rPr>
        <w:t>. Notwithstanding Section 1(b) above and anything to the contrary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award agreement, if the suspension of exercisability under this Agreement extends beyond 90 days from the stated expiration date of the Option Award, the Option Award shall be automatically extended by a period equal to the duration of the suspension, such that the Participant shall have the full benefit of the original option term measured from the date the suspension is lifted. This extension shall apply regardless of any termination of the Participant’s employment or service, provided that the Participant remains subject to the non-exercise covenant during the suspension period</w:t>
      </w:r>
    </w:p>
    <w:p>
      <w:pPr>
        <w:spacing w:after="0" w:line="174" w:lineRule="exact"/>
        <w:rPr>
          <w:rFonts w:ascii="Times New Roman" w:cs="Times New Roman" w:eastAsia="Times New Roman" w:hAnsi="Times New Roman"/>
          <w:sz w:val="22"/>
          <w:szCs w:val="22"/>
          <w:color w:val="auto"/>
        </w:rPr>
      </w:pPr>
    </w:p>
    <w:p>
      <w:pPr>
        <w:jc w:val="both"/>
        <w:ind w:right="320" w:firstLine="1304"/>
        <w:spacing w:after="0" w:line="250" w:lineRule="auto"/>
        <w:tabs>
          <w:tab w:leader="none" w:pos="1941"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Additional Trading Restrictions</w:t>
      </w:r>
      <w:r>
        <w:rPr>
          <w:rFonts w:ascii="Times New Roman" w:cs="Times New Roman" w:eastAsia="Times New Roman" w:hAnsi="Times New Roman"/>
          <w:sz w:val="22"/>
          <w:szCs w:val="22"/>
          <w:color w:val="auto"/>
        </w:rPr>
        <w:t>. Upon issuance of shares pursuant to the exercise of the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or settlement of PSUs, the Participant shall have the unrestricted right to sell, transfer, or otherwise dispose of such shares, subject only to (i) applicable securities laws, (ii) the Company’s standard insider trading policy and regularly scheduled blackout periods applicable to all executive officers, and (iii) any tax withholding obligations. The Company shall not impose any additional restrictions on the Participant’s ability to sell or transfer shares issued pursuant to the Awards beyond those restrictions applicable to other executive officers of the Company. For the avoidance of doubt, the Company shall not require the Participant to hold shares for any minimum period following issuance.</w:t>
      </w:r>
    </w:p>
    <w:p>
      <w:pPr>
        <w:spacing w:after="0" w:line="197" w:lineRule="exact"/>
        <w:rPr>
          <w:rFonts w:ascii="Times New Roman" w:cs="Times New Roman" w:eastAsia="Times New Roman" w:hAnsi="Times New Roman"/>
          <w:sz w:val="22"/>
          <w:szCs w:val="22"/>
          <w:color w:val="auto"/>
        </w:rPr>
      </w:pPr>
    </w:p>
    <w:p>
      <w:pPr>
        <w:ind w:left="1300" w:hanging="643"/>
        <w:spacing w:after="0"/>
        <w:tabs>
          <w:tab w:leader="none" w:pos="13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PSU Awards</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ind w:right="340" w:firstLine="1304"/>
        <w:spacing w:after="0" w:line="262" w:lineRule="auto"/>
        <w:tabs>
          <w:tab w:leader="none" w:pos="1941"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Vesting</w:t>
      </w:r>
      <w:r>
        <w:rPr>
          <w:rFonts w:ascii="Times New Roman" w:cs="Times New Roman" w:eastAsia="Times New Roman" w:hAnsi="Times New Roman"/>
          <w:sz w:val="22"/>
          <w:szCs w:val="22"/>
          <w:color w:val="auto"/>
        </w:rPr>
        <w:t>. Vesting of the 2026 PSUs and the 2025 PSUs shall continue in accordance with the terms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applicable award agreements and the Plan.</w:t>
      </w:r>
    </w:p>
    <w:p>
      <w:pPr>
        <w:spacing w:after="0" w:line="176" w:lineRule="exact"/>
        <w:rPr>
          <w:rFonts w:ascii="Times New Roman" w:cs="Times New Roman" w:eastAsia="Times New Roman" w:hAnsi="Times New Roman"/>
          <w:sz w:val="22"/>
          <w:szCs w:val="22"/>
          <w:color w:val="auto"/>
        </w:rPr>
      </w:pPr>
    </w:p>
    <w:p>
      <w:pPr>
        <w:jc w:val="both"/>
        <w:ind w:right="320" w:firstLine="1304"/>
        <w:spacing w:after="0" w:line="249" w:lineRule="auto"/>
        <w:tabs>
          <w:tab w:leader="none" w:pos="1939"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Deferral of Settlement</w:t>
      </w:r>
      <w:r>
        <w:rPr>
          <w:rFonts w:ascii="Times New Roman" w:cs="Times New Roman" w:eastAsia="Times New Roman" w:hAnsi="Times New Roman"/>
          <w:sz w:val="22"/>
          <w:szCs w:val="22"/>
          <w:color w:val="auto"/>
        </w:rPr>
        <w:t>. Notwithstanding anything to the contrary in the applicable award agreements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the Plan, the Company’s obligation to issue shares in respect of vested PSUs subject to this Agreement is contingent upon the effectiveness of the Authorized Share Increase. If the Authorized Share Increase is not effective by March 15 of the calendar year following the calendar year in which PSUs vest, the Company shall either (i) issue shares to the Participant from any other available source, including but not limited to treasury shares, shares purchased on the open market, or shares obtained through cancellation of other awards, or (ii) settle such PSUs in cash as provided in Section 2(e). Under no circumstances shall the Participant forfeit vested PSUs due to the Company’s failure to obtain stockholder approval for the Authorized Share Increase or due to any other action or inaction by the Company.</w:t>
      </w:r>
    </w:p>
    <w:p>
      <w:pPr>
        <w:spacing w:after="0" w:line="18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b w:val="1"/>
          <w:bCs w:val="1"/>
          <w:color w:val="auto"/>
        </w:rPr>
        <w:t>Section 409A Compliance</w:t>
      </w:r>
      <w:r>
        <w:rPr>
          <w:rFonts w:ascii="Times New Roman" w:cs="Times New Roman" w:eastAsia="Times New Roman" w:hAnsi="Times New Roman"/>
          <w:sz w:val="22"/>
          <w:szCs w:val="22"/>
          <w:color w:val="auto"/>
        </w:rPr>
        <w:t>. This Agreement is intended to comply with Section 409A of the Code or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exemption thereto. Notwithstanding the foregoing, if compliance with Section 409A would result in the forfeiture of vested Awards due to the Company’s failure to obtain the Authorized Share Increase, then the Company shall either (i) structure an alternative settlement mechanism that complies with Section 409A, or (ii) settle such Awards in a manner that may be subject to Section 409A, with the Company indemnifying the Participant for any taxes, penalties, or interest imposed under Section 409A resulting from such settlement. Under no circumstances shall a vested Award be forfeited solely due to Section 409A considerations arising from the Company’s inability to issue shares.</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08" w:lineRule="exact"/>
        <w:rPr>
          <w:sz w:val="20"/>
          <w:szCs w:val="20"/>
          <w:color w:val="auto"/>
        </w:rPr>
      </w:pPr>
    </w:p>
    <w:p>
      <w:pPr>
        <w:jc w:val="both"/>
        <w:ind w:right="320" w:firstLine="1304"/>
        <w:spacing w:after="0" w:line="248" w:lineRule="auto"/>
        <w:tabs>
          <w:tab w:leader="none" w:pos="1941"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Prompt Issuance upon Authorization</w:t>
      </w:r>
      <w:r>
        <w:rPr>
          <w:rFonts w:ascii="Times New Roman" w:cs="Times New Roman" w:eastAsia="Times New Roman" w:hAnsi="Times New Roman"/>
          <w:sz w:val="22"/>
          <w:szCs w:val="22"/>
          <w:color w:val="auto"/>
        </w:rPr>
        <w:t>. Within five (5) business days following the effective date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Authorized Share Increase, the Company shall issue all shares underlying vested PSUs and shall facilitate the exercise and settlement of any vested portion of the Option Award, subject to applicable withholding requirements and standard settlement procedures. The Company shall use commercially reasonable efforts to cause the Authorized Share Increase to become effective no later than Dec 31, 2026. If the Company fails to issue shares within five (5) business days following the effective date of the Authorized Share Increase as set forth in this Section 2(d), the Participant may elect, in his sole discretion, to receive a cash payment equal to the Fair Market Value (as defined in the Plan) of the shares underlying such vested PSUs or exercised Options, calculated as of the vesting date for PSUs or the exercise date for Options. Such cash payment shall be made within thirty (30) days of the Participant’s election.</w:t>
      </w:r>
    </w:p>
    <w:p>
      <w:pPr>
        <w:spacing w:after="0" w:line="185" w:lineRule="exact"/>
        <w:rPr>
          <w:rFonts w:ascii="Times New Roman" w:cs="Times New Roman" w:eastAsia="Times New Roman" w:hAnsi="Times New Roman"/>
          <w:sz w:val="22"/>
          <w:szCs w:val="22"/>
          <w:color w:val="auto"/>
        </w:rPr>
      </w:pPr>
    </w:p>
    <w:p>
      <w:pPr>
        <w:jc w:val="both"/>
        <w:ind w:right="320" w:firstLine="1304"/>
        <w:spacing w:after="0" w:line="251" w:lineRule="auto"/>
        <w:tabs>
          <w:tab w:leader="none" w:pos="1939"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Alternative Settlement</w:t>
      </w:r>
      <w:r>
        <w:rPr>
          <w:rFonts w:ascii="Times New Roman" w:cs="Times New Roman" w:eastAsia="Times New Roman" w:hAnsi="Times New Roman"/>
          <w:sz w:val="22"/>
          <w:szCs w:val="22"/>
          <w:color w:val="auto"/>
        </w:rPr>
        <w:t>. If the Authorized Share Increase is not effective by Dec 31, 2026, then, during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period from January 1, 2027 until the Authorized Share Increase is effective, the Participant may elect, in his sole discretion, to receive a cash payment equal to the Fair Market Value (as defined in the Plan) of the shares underlying any vested PSUs or exercisable Options, calculated as of the vesting date for PSUs or the exercise date for Options. Such cash payment shall be made within thirty (30) days of the Participant’s election. In addition, if any vested PSUs would otherwise be forfeited under Section 2(b), then the Participant may elect, in his sole discretion, to receive a cash payment equal to the Fair Market Value (as defined in the Plan) of the shares underlying such vested PSUs, calculated as of the vesting date for PSUs. Such cash payment shall be made within thirty (30) days of the Participant’s election.</w:t>
      </w:r>
    </w:p>
    <w:p>
      <w:pPr>
        <w:spacing w:after="0" w:line="182" w:lineRule="exact"/>
        <w:rPr>
          <w:rFonts w:ascii="Times New Roman" w:cs="Times New Roman" w:eastAsia="Times New Roman" w:hAnsi="Times New Roman"/>
          <w:sz w:val="22"/>
          <w:szCs w:val="22"/>
          <w:color w:val="auto"/>
        </w:rPr>
      </w:pPr>
    </w:p>
    <w:p>
      <w:pPr>
        <w:ind w:left="1300" w:hanging="643"/>
        <w:spacing w:after="0"/>
        <w:tabs>
          <w:tab w:leader="none" w:pos="13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Approval Efforts and Alternative Remedies</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 Obligations</w:t>
      </w:r>
      <w:r>
        <w:rPr>
          <w:rFonts w:ascii="Times New Roman" w:cs="Times New Roman" w:eastAsia="Times New Roman" w:hAnsi="Times New Roman"/>
          <w:sz w:val="22"/>
          <w:szCs w:val="22"/>
          <w:color w:val="auto"/>
        </w:rPr>
        <w:t>. The Company shall use its best efforts to obtain stockholder approval for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Authorized Share Increase by December 31, 2026.</w:t>
      </w:r>
    </w:p>
    <w:p>
      <w:pPr>
        <w:spacing w:after="0" w:line="178" w:lineRule="exact"/>
        <w:rPr>
          <w:sz w:val="20"/>
          <w:szCs w:val="20"/>
          <w:color w:val="auto"/>
        </w:rPr>
      </w:pPr>
    </w:p>
    <w:p>
      <w:pPr>
        <w:ind w:right="1360" w:firstLine="1304"/>
        <w:spacing w:after="0" w:line="275" w:lineRule="auto"/>
        <w:tabs>
          <w:tab w:leader="none" w:pos="1939"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Failure to Obtain Approval</w:t>
      </w:r>
      <w:r>
        <w:rPr>
          <w:rFonts w:ascii="Times New Roman" w:cs="Times New Roman" w:eastAsia="Times New Roman" w:hAnsi="Times New Roman"/>
          <w:sz w:val="22"/>
          <w:szCs w:val="22"/>
          <w:color w:val="auto"/>
        </w:rPr>
        <w:t>. If the Company’s stockholders fail to approve the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 Increase on or before December 31, 2026, then:</w:t>
      </w:r>
    </w:p>
    <w:p>
      <w:pPr>
        <w:spacing w:after="0" w:line="153" w:lineRule="exact"/>
        <w:rPr>
          <w:rFonts w:ascii="Times New Roman" w:cs="Times New Roman" w:eastAsia="Times New Roman" w:hAnsi="Times New Roman"/>
          <w:sz w:val="22"/>
          <w:szCs w:val="22"/>
          <w:color w:val="auto"/>
        </w:rPr>
      </w:pPr>
    </w:p>
    <w:p>
      <w:pPr>
        <w:ind w:right="380" w:firstLine="1952"/>
        <w:spacing w:after="0" w:line="258" w:lineRule="auto"/>
        <w:tabs>
          <w:tab w:leader="none" w:pos="2580"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Automatic Cash Settlement Right: All vested PSUs and the vested, exercisable portion of the Option Award shall be automatically eligible for cash settlement at the Participant’s election as provided in Section 2(e).</w:t>
      </w:r>
    </w:p>
    <w:p>
      <w:pPr>
        <w:spacing w:after="0" w:line="158" w:lineRule="exact"/>
        <w:rPr>
          <w:rFonts w:ascii="Times New Roman" w:cs="Times New Roman" w:eastAsia="Times New Roman" w:hAnsi="Times New Roman"/>
          <w:sz w:val="22"/>
          <w:szCs w:val="22"/>
          <w:color w:val="auto"/>
        </w:rPr>
      </w:pPr>
    </w:p>
    <w:p>
      <w:pPr>
        <w:jc w:val="both"/>
        <w:ind w:right="780" w:firstLine="1952"/>
        <w:spacing w:after="0" w:line="257" w:lineRule="auto"/>
        <w:tabs>
          <w:tab w:leader="none" w:pos="2586"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Continued Vesting: All unvested portions of the Awards shall continue to vest in accordance with their original terms, with vested amounts subject to cash settlement at the Participant’s election as provided in Section 2(e).</w:t>
      </w:r>
    </w:p>
    <w:p>
      <w:pPr>
        <w:spacing w:after="0" w:line="159" w:lineRule="exact"/>
        <w:rPr>
          <w:rFonts w:ascii="Times New Roman" w:cs="Times New Roman" w:eastAsia="Times New Roman" w:hAnsi="Times New Roman"/>
          <w:sz w:val="22"/>
          <w:szCs w:val="22"/>
          <w:color w:val="auto"/>
        </w:rPr>
      </w:pPr>
    </w:p>
    <w:p>
      <w:pPr>
        <w:ind w:left="2600" w:hanging="647"/>
        <w:spacing w:after="0"/>
        <w:tabs>
          <w:tab w:leader="none" w:pos="2600"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Price Protection: For any Awards settled in cash more than ninety</w:t>
      </w:r>
    </w:p>
    <w:p>
      <w:pPr>
        <w:spacing w:after="0" w:line="14" w:lineRule="exact"/>
        <w:rPr>
          <w:rFonts w:ascii="Times New Roman" w:cs="Times New Roman" w:eastAsia="Times New Roman" w:hAnsi="Times New Roman"/>
          <w:sz w:val="22"/>
          <w:szCs w:val="22"/>
          <w:color w:val="auto"/>
        </w:rPr>
      </w:pPr>
    </w:p>
    <w:p>
      <w:pPr>
        <w:ind w:left="420" w:hanging="412"/>
        <w:spacing w:after="0"/>
        <w:tabs>
          <w:tab w:leader="none" w:pos="4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their original vesting date due to delays in obtaining the Authorized Share Increase, the settlement price shall</w:t>
      </w:r>
    </w:p>
    <w:p>
      <w:pPr>
        <w:spacing w:after="0" w:line="4" w:lineRule="exact"/>
        <w:rPr>
          <w:sz w:val="20"/>
          <w:szCs w:val="20"/>
          <w:color w:val="auto"/>
        </w:rPr>
      </w:pPr>
    </w:p>
    <w:p>
      <w:pPr>
        <w:ind w:right="620"/>
        <w:spacing w:after="0" w:line="248" w:lineRule="auto"/>
        <w:rPr>
          <w:sz w:val="20"/>
          <w:szCs w:val="20"/>
          <w:color w:val="auto"/>
        </w:rPr>
      </w:pPr>
      <w:r>
        <w:rPr>
          <w:rFonts w:ascii="Times New Roman" w:cs="Times New Roman" w:eastAsia="Times New Roman" w:hAnsi="Times New Roman"/>
          <w:sz w:val="22"/>
          <w:szCs w:val="22"/>
          <w:color w:val="auto"/>
        </w:rPr>
        <w:t>be the higher of (A) the Fair Market Value on the original vesting date, or (B) the Fair Market Value on the cash settlement date.</w:t>
      </w:r>
    </w:p>
    <w:p>
      <w:pPr>
        <w:spacing w:after="0" w:line="169"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Interest Compensation: The Company shall pay simple interest at the applicable federal rate on the value of vested Awards from the original vesting date until the date of share issuance or cash settlement, whichever occurs first.</w:t>
      </w:r>
    </w:p>
    <w:p>
      <w:pPr>
        <w:sectPr>
          <w:pgSz w:w="11900" w:h="16838" w:orient="portrait"/>
          <w:cols w:equalWidth="0" w:num="1">
            <w:col w:w="11240"/>
          </w:cols>
          <w:pgMar w:left="320" w:top="1440" w:right="339" w:bottom="1440" w:gutter="0" w:footer="0" w:header="0"/>
        </w:sectPr>
      </w:pPr>
    </w:p>
    <w:bookmarkStart w:id="42" w:name="page43"/>
    <w:bookmarkEnd w:id="42"/>
    <w:p>
      <w:pPr>
        <w:spacing w:after="0" w:line="212" w:lineRule="exact"/>
        <w:rPr>
          <w:sz w:val="20"/>
          <w:szCs w:val="20"/>
          <w:color w:val="auto"/>
        </w:rPr>
      </w:pPr>
    </w:p>
    <w:p>
      <w:pPr>
        <w:ind w:left="960" w:hanging="643"/>
        <w:spacing w:after="0"/>
        <w:tabs>
          <w:tab w:leader="none" w:pos="9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Protections</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ind w:left="-340" w:right="420" w:firstLine="1304"/>
        <w:spacing w:after="0" w:line="249" w:lineRule="auto"/>
        <w:tabs>
          <w:tab w:leader="none" w:pos="1601"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Legal and Tax Gross-Up</w:t>
      </w:r>
      <w:r>
        <w:rPr>
          <w:rFonts w:ascii="Times New Roman" w:cs="Times New Roman" w:eastAsia="Times New Roman" w:hAnsi="Times New Roman"/>
          <w:sz w:val="22"/>
          <w:szCs w:val="22"/>
          <w:color w:val="auto"/>
        </w:rPr>
        <w:t>. If the Participant incurs any additional tax liability, penalties, or interest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Section 409A of the Code or any other tax provision as a result of the suspension, deferral, or settlement structure imposed by this Agreement, the Company shall gross up such amounts to make the Participant whole on an after-tax basis.</w:t>
      </w:r>
    </w:p>
    <w:p>
      <w:pPr>
        <w:spacing w:after="0" w:line="165" w:lineRule="exact"/>
        <w:rPr>
          <w:rFonts w:ascii="Times New Roman" w:cs="Times New Roman" w:eastAsia="Times New Roman" w:hAnsi="Times New Roman"/>
          <w:sz w:val="22"/>
          <w:szCs w:val="22"/>
          <w:color w:val="auto"/>
        </w:rPr>
      </w:pPr>
    </w:p>
    <w:p>
      <w:pPr>
        <w:jc w:val="both"/>
        <w:ind w:left="-340" w:right="120" w:firstLine="1304"/>
        <w:spacing w:after="0" w:line="265" w:lineRule="auto"/>
        <w:tabs>
          <w:tab w:leader="none" w:pos="1599"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Acceleration Upon Change in Control</w:t>
      </w:r>
      <w:r>
        <w:rPr>
          <w:rFonts w:ascii="Times New Roman" w:cs="Times New Roman" w:eastAsia="Times New Roman" w:hAnsi="Times New Roman"/>
          <w:sz w:val="21"/>
          <w:szCs w:val="21"/>
          <w:color w:val="auto"/>
        </w:rPr>
        <w:t>. Notwithstanding anything in this Agreement, upon a Change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Control (as defined in the Plan) occurring prior to the effective date of the Authorized Share Increase, (i) all restrictions in this Agreement shall immediately terminate, (ii) all unvested Awards shall vest in full, and (iii) the Company shall immediately settle all Awards in cash based on the Change in Control price, or in shares to the extent available.</w:t>
      </w:r>
    </w:p>
    <w:p>
      <w:pPr>
        <w:spacing w:after="0" w:line="148" w:lineRule="exact"/>
        <w:rPr>
          <w:rFonts w:ascii="Times New Roman" w:cs="Times New Roman" w:eastAsia="Times New Roman" w:hAnsi="Times New Roman"/>
          <w:sz w:val="21"/>
          <w:szCs w:val="21"/>
          <w:color w:val="auto"/>
        </w:rPr>
      </w:pPr>
    </w:p>
    <w:p>
      <w:pPr>
        <w:ind w:left="-340" w:right="400" w:firstLine="1304"/>
        <w:spacing w:after="0" w:line="270" w:lineRule="auto"/>
        <w:tabs>
          <w:tab w:leader="none" w:pos="1601"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Adverse Impact</w:t>
      </w:r>
      <w:r>
        <w:rPr>
          <w:rFonts w:ascii="Times New Roman" w:cs="Times New Roman" w:eastAsia="Times New Roman" w:hAnsi="Times New Roman"/>
          <w:sz w:val="21"/>
          <w:szCs w:val="21"/>
          <w:color w:val="auto"/>
        </w:rPr>
        <w:t>. This Agreement shall not adversely affect any other rights the Participant has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the Plan, the award agreements, any employment agreement, or otherwise. If any provision of this Agreement conflicts with any other agreement between the parties, the provision most favorable to the Participant shall control.</w:t>
      </w:r>
    </w:p>
    <w:p>
      <w:pPr>
        <w:spacing w:after="0" w:line="174" w:lineRule="exact"/>
        <w:rPr>
          <w:rFonts w:ascii="Times New Roman" w:cs="Times New Roman" w:eastAsia="Times New Roman" w:hAnsi="Times New Roman"/>
          <w:sz w:val="21"/>
          <w:szCs w:val="21"/>
          <w:color w:val="auto"/>
        </w:rPr>
      </w:pPr>
    </w:p>
    <w:p>
      <w:pPr>
        <w:ind w:left="960" w:hanging="643"/>
        <w:spacing w:after="0"/>
        <w:tabs>
          <w:tab w:leader="none" w:pos="9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ind w:left="-340" w:right="100" w:firstLine="1304"/>
        <w:spacing w:after="0" w:line="262" w:lineRule="auto"/>
        <w:tabs>
          <w:tab w:leader="none" w:pos="1601"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Other Amendments</w:t>
      </w:r>
      <w:r>
        <w:rPr>
          <w:rFonts w:ascii="Times New Roman" w:cs="Times New Roman" w:eastAsia="Times New Roman" w:hAnsi="Times New Roman"/>
          <w:sz w:val="22"/>
          <w:szCs w:val="22"/>
          <w:color w:val="auto"/>
        </w:rPr>
        <w:t>. Except as expressly provided in this Agreement, the terms of the Plan and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Award shall remain unmodified and in full force and effect.</w:t>
      </w:r>
    </w:p>
    <w:p>
      <w:pPr>
        <w:spacing w:after="0" w:line="163" w:lineRule="exact"/>
        <w:rPr>
          <w:rFonts w:ascii="Times New Roman" w:cs="Times New Roman" w:eastAsia="Times New Roman" w:hAnsi="Times New Roman"/>
          <w:sz w:val="22"/>
          <w:szCs w:val="22"/>
          <w:color w:val="auto"/>
        </w:rPr>
      </w:pPr>
    </w:p>
    <w:p>
      <w:pPr>
        <w:ind w:left="-340" w:right="20" w:firstLine="1304"/>
        <w:spacing w:after="0" w:line="262" w:lineRule="auto"/>
        <w:tabs>
          <w:tab w:leader="none" w:pos="1599"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Agreement will be construed in accordance with the laws of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Delaware, without regard to the application of the principles of conflicts of laws.</w:t>
      </w:r>
    </w:p>
    <w:p>
      <w:pPr>
        <w:spacing w:after="0" w:line="149" w:lineRule="exact"/>
        <w:rPr>
          <w:rFonts w:ascii="Times New Roman" w:cs="Times New Roman" w:eastAsia="Times New Roman" w:hAnsi="Times New Roman"/>
          <w:sz w:val="22"/>
          <w:szCs w:val="22"/>
          <w:color w:val="auto"/>
        </w:rPr>
      </w:pPr>
    </w:p>
    <w:p>
      <w:pPr>
        <w:jc w:val="both"/>
        <w:ind w:left="-340" w:firstLine="1304"/>
        <w:spacing w:after="0" w:line="259" w:lineRule="auto"/>
        <w:tabs>
          <w:tab w:leader="none" w:pos="1601"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Execution</w:t>
      </w:r>
      <w:r>
        <w:rPr>
          <w:rFonts w:ascii="Times New Roman" w:cs="Times New Roman" w:eastAsia="Times New Roman" w:hAnsi="Times New Roman"/>
          <w:sz w:val="22"/>
          <w:szCs w:val="22"/>
          <w:color w:val="auto"/>
        </w:rPr>
        <w:t>. The Agreement may be executed, including execution by facsimile or electronic signature,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one or more counterparts, each of which will be deemed an original, and all of which together shall be deemed to be one and the same instrument.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this page intentionally left blank.]</w:t>
      </w:r>
    </w:p>
    <w:p>
      <w:pPr>
        <w:sectPr>
          <w:pgSz w:w="11900" w:h="16838" w:orient="portrait"/>
          <w:cols w:equalWidth="0" w:num="1">
            <w:col w:w="10580"/>
          </w:cols>
          <w:pgMar w:left="660" w:top="1440" w:right="6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color w:val="auto"/>
        </w:rPr>
        <w:t>IN WITNESS WHEREOF, the undersigned has executed this Agreement as of the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January, 2026.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OCUGEN, INC.</w:t>
      </w:r>
    </w:p>
    <w:p>
      <w:pPr>
        <w:spacing w:after="0" w:line="200" w:lineRule="exact"/>
        <w:rPr>
          <w:sz w:val="20"/>
          <w:szCs w:val="20"/>
          <w:color w:val="auto"/>
        </w:rPr>
      </w:pPr>
    </w:p>
    <w:p>
      <w:pPr>
        <w:spacing w:after="0" w:line="253" w:lineRule="exact"/>
        <w:rPr>
          <w:sz w:val="20"/>
          <w:szCs w:val="20"/>
          <w:color w:val="auto"/>
        </w:rPr>
      </w:pPr>
    </w:p>
    <w:p>
      <w:pPr>
        <w:jc w:val="right"/>
        <w:spacing w:after="0"/>
        <w:tabs>
          <w:tab w:leader="none" w:pos="5640" w:val="left"/>
          <w:tab w:leader="none" w:pos="2860" w:val="left"/>
        </w:tabs>
        <w:rPr>
          <w:sz w:val="20"/>
          <w:szCs w:val="20"/>
          <w:color w:val="auto"/>
        </w:rPr>
      </w:pPr>
      <w:r>
        <w:rPr>
          <w:rFonts w:ascii="Times New Roman" w:cs="Times New Roman" w:eastAsia="Times New Roman" w:hAnsi="Times New Roman"/>
          <w:sz w:val="22"/>
          <w:szCs w:val="22"/>
          <w:color w:val="auto"/>
        </w:rPr>
        <w:t>By:</w:t>
        <w:tab/>
        <w:t>/s/ Ramesh K Ramachandran</w:t>
      </w:r>
      <w:r>
        <w:rPr>
          <w:sz w:val="20"/>
          <w:szCs w:val="20"/>
          <w:color w:val="auto"/>
        </w:rPr>
        <w:tab/>
      </w:r>
      <w:r>
        <w:rPr>
          <w:rFonts w:ascii="Times New Roman" w:cs="Times New Roman" w:eastAsia="Times New Roman" w:hAnsi="Times New Roman"/>
          <w:sz w:val="21"/>
          <w:szCs w:val="21"/>
          <w:color w:val="auto"/>
        </w:rPr>
        <w:t>Name: Ramesh K Ramachandran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-13970</wp:posOffset>
            </wp:positionV>
            <wp:extent cx="18700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1870075" cy="8890"/>
                    </a:xfrm>
                    <a:prstGeom prst="rect">
                      <a:avLst/>
                    </a:prstGeom>
                    <a:noFill/>
                  </pic:spPr>
                </pic:pic>
              </a:graphicData>
            </a:graphic>
          </wp:anchor>
        </w:drawing>
      </w:r>
    </w:p>
    <w:p>
      <w:pPr>
        <w:spacing w:after="0" w:line="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Title: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0" w:lineRule="exact"/>
        <w:rPr>
          <w:sz w:val="20"/>
          <w:szCs w:val="20"/>
          <w:color w:val="auto"/>
        </w:rPr>
      </w:pPr>
    </w:p>
    <w:p>
      <w:pPr>
        <w:spacing w:after="0" w:line="267" w:lineRule="exact"/>
        <w:rPr>
          <w:sz w:val="20"/>
          <w:szCs w:val="20"/>
          <w:color w:val="auto"/>
        </w:rPr>
      </w:pPr>
    </w:p>
    <w:p>
      <w:pPr>
        <w:ind w:left="3880"/>
        <w:spacing w:after="0"/>
        <w:tabs>
          <w:tab w:leader="none" w:pos="4400" w:val="left"/>
          <w:tab w:leader="none" w:pos="6520" w:val="left"/>
        </w:tabs>
        <w:rPr>
          <w:sz w:val="20"/>
          <w:szCs w:val="20"/>
          <w:color w:val="auto"/>
        </w:rPr>
      </w:pPr>
      <w:r>
        <w:rPr>
          <w:rFonts w:ascii="Times New Roman" w:cs="Times New Roman" w:eastAsia="Times New Roman" w:hAnsi="Times New Roman"/>
          <w:sz w:val="22"/>
          <w:szCs w:val="22"/>
          <w:color w:val="auto"/>
        </w:rPr>
        <w:t>By:</w:t>
        <w:tab/>
        <w:t>/s/ Shankar Musunuri</w:t>
      </w:r>
      <w:r>
        <w:rPr>
          <w:sz w:val="20"/>
          <w:szCs w:val="20"/>
          <w:color w:val="auto"/>
        </w:rPr>
        <w:tab/>
      </w:r>
      <w:r>
        <w:rPr>
          <w:rFonts w:ascii="Times New Roman" w:cs="Times New Roman" w:eastAsia="Times New Roman" w:hAnsi="Times New Roman"/>
          <w:sz w:val="21"/>
          <w:szCs w:val="21"/>
          <w:color w:val="auto"/>
        </w:rPr>
        <w:t>Shankar Musunuri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2665095</wp:posOffset>
            </wp:positionH>
            <wp:positionV relativeFrom="paragraph">
              <wp:posOffset>-13970</wp:posOffset>
            </wp:positionV>
            <wp:extent cx="14554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455420" cy="8255"/>
                    </a:xfrm>
                    <a:prstGeom prst="rect">
                      <a:avLst/>
                    </a:prstGeom>
                    <a:noFill/>
                  </pic:spPr>
                </pic:pic>
              </a:graphicData>
            </a:graphic>
          </wp:anchor>
        </w:drawing>
      </w:r>
    </w:p>
    <w:p>
      <w:pPr>
        <w:sectPr>
          <w:pgSz w:w="11900" w:h="16838" w:orient="portrait"/>
          <w:cols w:equalWidth="0" w:num="1">
            <w:col w:w="10080"/>
          </w:cols>
          <w:pgMar w:left="980" w:top="1389" w:right="8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Shankar Musunuri,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Ocugen,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860"/>
        <w:spacing w:after="0"/>
        <w:tabs>
          <w:tab w:leader="none" w:pos="4320" w:val="left"/>
        </w:tabs>
        <w:rPr>
          <w:sz w:val="20"/>
          <w:szCs w:val="20"/>
          <w:color w:val="auto"/>
        </w:rPr>
      </w:pPr>
      <w:r>
        <w:rPr>
          <w:rFonts w:ascii="Times New Roman" w:cs="Times New Roman" w:eastAsia="Times New Roman" w:hAnsi="Times New Roman"/>
          <w:sz w:val="18"/>
          <w:szCs w:val="18"/>
          <w:color w:val="auto"/>
        </w:rPr>
        <w:t>Date: May 7, 2026</w:t>
        <w:tab/>
        <w:t>/s/ Shankar Musunuri,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34290</wp:posOffset>
            </wp:positionV>
            <wp:extent cx="44316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5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Shankar Musunuri, Ph.D., MBA</w:t>
      </w:r>
    </w:p>
    <w:p>
      <w:pPr>
        <w:spacing w:after="0" w:line="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Chairman, Chief Executive Officer, &amp; Co-Founder</w:t>
      </w:r>
    </w:p>
    <w:p>
      <w:pPr>
        <w:spacing w:after="0" w:line="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0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Treerita Johnson-Greene, certify that:</w:t>
      </w:r>
    </w:p>
    <w:p>
      <w:pPr>
        <w:spacing w:after="0" w:line="225"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Ocugen,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860" w:hanging="328"/>
        <w:spacing w:after="0" w:line="312" w:lineRule="auto"/>
        <w:tabs>
          <w:tab w:leader="none" w:pos="65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660" w:right="20" w:hanging="328"/>
        <w:spacing w:after="0" w:line="266"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860"/>
        <w:spacing w:after="0"/>
        <w:tabs>
          <w:tab w:leader="none" w:pos="4320" w:val="left"/>
        </w:tabs>
        <w:rPr>
          <w:sz w:val="20"/>
          <w:szCs w:val="20"/>
          <w:color w:val="auto"/>
        </w:rPr>
      </w:pPr>
      <w:r>
        <w:rPr>
          <w:rFonts w:ascii="Times New Roman" w:cs="Times New Roman" w:eastAsia="Times New Roman" w:hAnsi="Times New Roman"/>
          <w:sz w:val="18"/>
          <w:szCs w:val="18"/>
          <w:color w:val="auto"/>
        </w:rPr>
        <w:t>Date: May 7, 2026</w:t>
        <w:tab/>
        <w:t>/s/ Treerita Johnson-Greene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34290</wp:posOffset>
            </wp:positionV>
            <wp:extent cx="44316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5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Treerita Johnson-Greene, MBA</w:t>
      </w:r>
    </w:p>
    <w:p>
      <w:pPr>
        <w:spacing w:after="0" w:line="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0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Ocugen, Inc. (the “Company”) for the quarter ended March 31, 2026, as filed with the Securities and Exchange Commission on the date hereof (the "Form 10-Q"), each of the undersigned officers of the Company, does hereby certify, pursuant to 18 U.S.C. Section 1350, as adopted pursuant to Section 906 of the Sarbanes-Oxley Act of 2002, that, to my knowledge:</w:t>
      </w:r>
    </w:p>
    <w:p>
      <w:pPr>
        <w:spacing w:after="0" w:line="90"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as amended; and</w:t>
      </w:r>
    </w:p>
    <w:p>
      <w:pPr>
        <w:spacing w:after="0" w:line="130" w:lineRule="exact"/>
        <w:rPr>
          <w:rFonts w:ascii="Times New Roman" w:cs="Times New Roman" w:eastAsia="Times New Roman" w:hAnsi="Times New Roman"/>
          <w:sz w:val="22"/>
          <w:szCs w:val="22"/>
          <w:color w:val="auto"/>
        </w:rPr>
      </w:pPr>
    </w:p>
    <w:p>
      <w:pPr>
        <w:ind w:left="660" w:hanging="328"/>
        <w:spacing w:after="0" w:line="234" w:lineRule="auto"/>
        <w:tabs>
          <w:tab w:leader="none" w:pos="65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08" w:lineRule="exact"/>
        <w:rPr>
          <w:sz w:val="20"/>
          <w:szCs w:val="20"/>
          <w:color w:val="auto"/>
        </w:rPr>
      </w:pPr>
    </w:p>
    <w:tbl>
      <w:tblPr>
        <w:tblLayout w:type="fixed"/>
        <w:tblInd w:w="3940" w:type="dxa"/>
        <w:tblCellMar>
          <w:top w:w="0" w:type="dxa"/>
          <w:left w:w="0" w:type="dxa"/>
          <w:bottom w:w="0" w:type="dxa"/>
          <w:right w:w="0" w:type="dxa"/>
        </w:tblCellMar>
      </w:tblPr>
      <w:tr>
        <w:trPr>
          <w:trHeight w:val="26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w w:val="99"/>
              </w:rPr>
              <w:t>Date: May 7, 2026</w:t>
            </w:r>
          </w:p>
        </w:tc>
        <w:tc>
          <w:tcPr>
            <w:tcW w:w="5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Shankar Musunuri</w:t>
            </w:r>
          </w:p>
        </w:tc>
      </w:tr>
      <w:tr>
        <w:trPr>
          <w:trHeight w:val="218"/>
        </w:trPr>
        <w:tc>
          <w:tcPr>
            <w:tcW w:w="136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Shankar Musunuri, Ph.D., MBA</w:t>
            </w:r>
          </w:p>
        </w:tc>
      </w:tr>
      <w:tr>
        <w:trPr>
          <w:trHeight w:val="234"/>
        </w:trPr>
        <w:tc>
          <w:tcPr>
            <w:tcW w:w="1360" w:type="dxa"/>
            <w:vAlign w:val="bottom"/>
          </w:tcPr>
          <w:p>
            <w:pPr>
              <w:spacing w:after="0"/>
              <w:rPr>
                <w:sz w:val="20"/>
                <w:szCs w:val="20"/>
                <w:color w:val="auto"/>
              </w:rPr>
            </w:pP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Chairman, Chief Executive Officer, &amp; Co-Founder</w:t>
            </w:r>
          </w:p>
        </w:tc>
      </w:tr>
      <w:tr>
        <w:trPr>
          <w:trHeight w:val="243"/>
        </w:trPr>
        <w:tc>
          <w:tcPr>
            <w:tcW w:w="1360" w:type="dxa"/>
            <w:vAlign w:val="bottom"/>
          </w:tcPr>
          <w:p>
            <w:pPr>
              <w:spacing w:after="0"/>
              <w:rPr>
                <w:sz w:val="21"/>
                <w:szCs w:val="21"/>
                <w:color w:val="auto"/>
              </w:rPr>
            </w:pP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6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w w:val="99"/>
              </w:rPr>
              <w:t>Date: May 7, 2026</w:t>
            </w:r>
          </w:p>
        </w:tc>
        <w:tc>
          <w:tcPr>
            <w:tcW w:w="5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Treerita Johnson-Greene</w:t>
            </w:r>
          </w:p>
        </w:tc>
      </w:tr>
      <w:tr>
        <w:trPr>
          <w:trHeight w:val="237"/>
        </w:trPr>
        <w:tc>
          <w:tcPr>
            <w:tcW w:w="1360" w:type="dxa"/>
            <w:vAlign w:val="bottom"/>
          </w:tcPr>
          <w:p>
            <w:pPr>
              <w:spacing w:after="0"/>
              <w:rPr>
                <w:sz w:val="20"/>
                <w:szCs w:val="20"/>
                <w:color w:val="auto"/>
              </w:rPr>
            </w:pP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Treerita Johnson-Greene, MBA</w:t>
            </w:r>
          </w:p>
        </w:tc>
      </w:tr>
      <w:tr>
        <w:trPr>
          <w:trHeight w:val="270"/>
        </w:trPr>
        <w:tc>
          <w:tcPr>
            <w:tcW w:w="1360" w:type="dxa"/>
            <w:vAlign w:val="bottom"/>
          </w:tcPr>
          <w:p>
            <w:pPr>
              <w:spacing w:after="0"/>
              <w:rPr>
                <w:sz w:val="23"/>
                <w:szCs w:val="23"/>
                <w:color w:val="auto"/>
              </w:rPr>
            </w:pP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1360" w:type="dxa"/>
            <w:vAlign w:val="bottom"/>
          </w:tcPr>
          <w:p>
            <w:pPr>
              <w:spacing w:after="0"/>
              <w:rPr>
                <w:sz w:val="23"/>
                <w:szCs w:val="23"/>
                <w:color w:val="auto"/>
              </w:rPr>
            </w:pP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 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3"/>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6"/>
    </w:lvl>
  </w:abstractNum>
  <w:abstractNum w:abstractNumId="8">
    <w:nsid w:val="431BD7B7"/>
    <w:multiLevelType w:val="hybridMultilevel"/>
    <w:lvl w:ilvl="0">
      <w:lvlJc w:val="left"/>
      <w:lvlText w:val="•"/>
      <w:numFmt w:val="bullet"/>
      <w:start w:val="1"/>
    </w:lvl>
    <w:lvl w:ilvl="1">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emdash "/>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
    </w:lvl>
    <w:lvl w:ilvl="1">
      <w:lvlJc w:val="left"/>
      <w:lvlText w:val="(%2)"/>
      <w:numFmt w:val="lowerLetter"/>
      <w:start w:val="1"/>
    </w:lvl>
  </w:abstractNum>
  <w:abstractNum w:abstractNumId="17">
    <w:nsid w:val="2443A858"/>
    <w:multiLevelType w:val="hybridMultilevel"/>
    <w:lvl w:ilvl="0">
      <w:lvlJc w:val="left"/>
      <w:lvlText w:val="%1"/>
      <w:numFmt w:val="decimal"/>
      <w:start w:val="1"/>
    </w:lvl>
    <w:lvl w:ilvl="1">
      <w:lvlJc w:val="left"/>
      <w:lvlText w:val="(%2)"/>
      <w:numFmt w:val="lowerLetter"/>
      <w:start w:val="2"/>
    </w:lvl>
  </w:abstractNum>
  <w:abstractNum w:abstractNumId="18">
    <w:nsid w:val="2D1D5AE9"/>
    <w:multiLevelType w:val="hybridMultilevel"/>
    <w:lvl w:ilvl="0">
      <w:lvlJc w:val="left"/>
      <w:lvlText w:val="%1."/>
      <w:numFmt w:val="decimal"/>
      <w:start w:val="2"/>
    </w:lvl>
    <w:lvl w:ilvl="1">
      <w:lvlJc w:val="left"/>
      <w:lvlText w:val="(%2)"/>
      <w:numFmt w:val="lowerLetter"/>
      <w:start w:val="1"/>
    </w:lvl>
  </w:abstractNum>
  <w:abstractNum w:abstractNumId="19">
    <w:nsid w:val="6763845E"/>
    <w:multiLevelType w:val="hybridMultilevel"/>
    <w:lvl w:ilvl="0">
      <w:lvlJc w:val="left"/>
      <w:lvlText w:val="%1"/>
      <w:numFmt w:val="decimal"/>
      <w:start w:val="1"/>
    </w:lvl>
    <w:lvl w:ilvl="1">
      <w:lvlJc w:val="left"/>
      <w:lvlText w:val="(%2)"/>
      <w:numFmt w:val="lowerLetter"/>
      <w:start w:val="3"/>
    </w:lvl>
  </w:abstractNum>
  <w:abstractNum w:abstractNumId="20">
    <w:nsid w:val="75A2A8D4"/>
    <w:multiLevelType w:val="hybridMultilevel"/>
    <w:lvl w:ilvl="0">
      <w:lvlJc w:val="left"/>
      <w:lvlText w:val="%1."/>
      <w:numFmt w:val="decimal"/>
      <w:start w:val="3"/>
    </w:lvl>
    <w:lvl w:ilvl="1">
      <w:lvlJc w:val="left"/>
      <w:lvlText w:val="(%2)"/>
      <w:numFmt w:val="lowerLetter"/>
      <w:start w:val="1"/>
    </w:lvl>
  </w:abstractNum>
  <w:abstractNum w:abstractNumId="21">
    <w:nsid w:val="8EDBDA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2">
    <w:nsid w:val="79838CB2"/>
    <w:multiLevelType w:val="hybridMultilevel"/>
    <w:lvl w:ilvl="0">
      <w:lvlJc w:val="left"/>
      <w:lvlText w:val="(%1)"/>
      <w:numFmt w:val="decimal"/>
      <w:start w:val="90"/>
    </w:lvl>
    <w:lvl w:ilvl="1">
      <w:lvlJc w:val="left"/>
      <w:lvlText w:val="%2"/>
      <w:numFmt w:val="lowerLetter"/>
      <w:start w:val="1"/>
    </w:lvl>
    <w:lvl w:ilvl="2">
      <w:lvlJc w:val="left"/>
      <w:lvlText w:val="%3"/>
      <w:numFmt w:val="lowerRoman"/>
      <w:start w:val="1"/>
    </w:lvl>
  </w:abstractNum>
  <w:abstractNum w:abstractNumId="23">
    <w:nsid w:val="4353D0CD"/>
    <w:multiLevelType w:val="hybridMultilevel"/>
    <w:lvl w:ilvl="0">
      <w:lvlJc w:val="left"/>
      <w:lvlText w:val="%1."/>
      <w:numFmt w:val="decimal"/>
      <w:start w:val="4"/>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51" Type="http://schemas.openxmlformats.org/officeDocument/2006/relationships/hyperlink" Target="https://www.sec.gov/Archives/edgar/data/1372299/000110465926057138/tm2613898d1_ex4-1.htm" TargetMode="External"/><Relationship Id="rId52" Type="http://schemas.openxmlformats.org/officeDocument/2006/relationships/hyperlink" Target="https://www.sec.gov/Archives/edgar/data/1372299/000110465926011765/tm265594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2026-05-08T05:30:42Z</dcterms:created>
  <dcterms:modified xsi:type="dcterms:W3CDTF">2026-05-08T05:30:42Z</dcterms:modified>
</cp:coreProperties>
</file>