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6"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9"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001-36751</w:t>
      </w:r>
    </w:p>
    <w:p>
      <w:pPr>
        <w:spacing w:after="0" w:line="2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OCUGEN,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36"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3300" w:type="dxa"/>
            <w:vAlign w:val="bottom"/>
          </w:tcPr>
          <w:p>
            <w:pPr>
              <w:jc w:val="center"/>
              <w:ind w:left="2175"/>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jc w:val="center"/>
              <w:ind w:right="2055"/>
              <w:spacing w:after="0"/>
              <w:rPr>
                <w:sz w:val="20"/>
                <w:szCs w:val="20"/>
                <w:color w:val="auto"/>
              </w:rPr>
            </w:pPr>
            <w:r>
              <w:rPr>
                <w:rFonts w:ascii="Times New Roman" w:cs="Times New Roman" w:eastAsia="Times New Roman" w:hAnsi="Times New Roman"/>
                <w:sz w:val="17"/>
                <w:szCs w:val="17"/>
                <w:b w:val="1"/>
                <w:bCs w:val="1"/>
                <w:color w:val="auto"/>
                <w:w w:val="99"/>
              </w:rPr>
              <w:t>04-3522315</w:t>
            </w:r>
          </w:p>
        </w:tc>
      </w:tr>
      <w:tr>
        <w:trPr>
          <w:trHeight w:val="183"/>
        </w:trPr>
        <w:tc>
          <w:tcPr>
            <w:tcW w:w="7740" w:type="dxa"/>
            <w:vAlign w:val="bottom"/>
            <w:gridSpan w:val="6"/>
          </w:tcPr>
          <w:p>
            <w:pPr>
              <w:jc w:val="center"/>
              <w:ind w:right="2200"/>
              <w:spacing w:after="0" w:line="183"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3440" w:type="dxa"/>
            <w:vAlign w:val="bottom"/>
          </w:tcPr>
          <w:p>
            <w:pPr>
              <w:jc w:val="center"/>
              <w:ind w:right="2055"/>
              <w:spacing w:after="0" w:line="183" w:lineRule="exact"/>
              <w:rPr>
                <w:sz w:val="20"/>
                <w:szCs w:val="20"/>
                <w:color w:val="auto"/>
              </w:rPr>
            </w:pPr>
            <w:r>
              <w:rPr>
                <w:rFonts w:ascii="Times New Roman" w:cs="Times New Roman" w:eastAsia="Times New Roman" w:hAnsi="Times New Roman"/>
                <w:sz w:val="17"/>
                <w:szCs w:val="17"/>
                <w:color w:val="auto"/>
              </w:rPr>
              <w:t>(I.R.S. Employer</w:t>
            </w:r>
          </w:p>
        </w:tc>
      </w:tr>
      <w:tr>
        <w:trPr>
          <w:trHeight w:val="222"/>
        </w:trPr>
        <w:tc>
          <w:tcPr>
            <w:tcW w:w="7740" w:type="dxa"/>
            <w:vAlign w:val="bottom"/>
            <w:gridSpan w:val="6"/>
          </w:tcPr>
          <w:p>
            <w:pPr>
              <w:jc w:val="center"/>
              <w:ind w:right="2200"/>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3440" w:type="dxa"/>
            <w:vAlign w:val="bottom"/>
          </w:tcPr>
          <w:p>
            <w:pPr>
              <w:jc w:val="center"/>
              <w:ind w:right="2055"/>
              <w:spacing w:after="0"/>
              <w:rPr>
                <w:sz w:val="20"/>
                <w:szCs w:val="20"/>
                <w:color w:val="auto"/>
              </w:rPr>
            </w:pPr>
            <w:r>
              <w:rPr>
                <w:rFonts w:ascii="Times New Roman" w:cs="Times New Roman" w:eastAsia="Times New Roman" w:hAnsi="Times New Roman"/>
                <w:sz w:val="17"/>
                <w:szCs w:val="17"/>
                <w:color w:val="auto"/>
                <w:w w:val="99"/>
              </w:rPr>
              <w:t>Identification No.)</w:t>
            </w:r>
          </w:p>
        </w:tc>
      </w:tr>
      <w:tr>
        <w:trPr>
          <w:trHeight w:val="300"/>
        </w:trPr>
        <w:tc>
          <w:tcPr>
            <w:tcW w:w="3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11 Great Valley Parkway</w:t>
            </w:r>
          </w:p>
        </w:tc>
        <w:tc>
          <w:tcPr>
            <w:tcW w:w="3440" w:type="dxa"/>
            <w:vAlign w:val="bottom"/>
          </w:tcPr>
          <w:p>
            <w:pPr>
              <w:spacing w:after="0"/>
              <w:rPr>
                <w:sz w:val="24"/>
                <w:szCs w:val="24"/>
                <w:color w:val="auto"/>
              </w:rPr>
            </w:pPr>
          </w:p>
        </w:tc>
      </w:tr>
      <w:tr>
        <w:trPr>
          <w:trHeight w:val="220"/>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Malvern, Pennsylvania 19355</w:t>
            </w:r>
          </w:p>
        </w:tc>
        <w:tc>
          <w:tcPr>
            <w:tcW w:w="3440" w:type="dxa"/>
            <w:vAlign w:val="bottom"/>
          </w:tcPr>
          <w:p>
            <w:pPr>
              <w:spacing w:after="0"/>
              <w:rPr>
                <w:sz w:val="19"/>
                <w:szCs w:val="19"/>
                <w:color w:val="auto"/>
              </w:rPr>
            </w:pPr>
          </w:p>
        </w:tc>
      </w:tr>
      <w:tr>
        <w:trPr>
          <w:trHeight w:val="222"/>
        </w:trPr>
        <w:tc>
          <w:tcPr>
            <w:tcW w:w="3300" w:type="dxa"/>
            <w:vAlign w:val="bottom"/>
          </w:tcPr>
          <w:p>
            <w:pPr>
              <w:spacing w:after="0"/>
              <w:rPr>
                <w:sz w:val="19"/>
                <w:szCs w:val="19"/>
                <w:color w:val="auto"/>
              </w:rPr>
            </w:pPr>
          </w:p>
        </w:tc>
        <w:tc>
          <w:tcPr>
            <w:tcW w:w="4440" w:type="dxa"/>
            <w:vAlign w:val="bottom"/>
            <w:gridSpan w:val="5"/>
          </w:tcPr>
          <w:p>
            <w:pPr>
              <w:jc w:val="center"/>
              <w:ind w:left="58"/>
              <w:spacing w:after="0"/>
              <w:rPr>
                <w:sz w:val="20"/>
                <w:szCs w:val="20"/>
                <w:color w:val="auto"/>
              </w:rPr>
            </w:pPr>
            <w:r>
              <w:rPr>
                <w:rFonts w:ascii="Times New Roman" w:cs="Times New Roman" w:eastAsia="Times New Roman" w:hAnsi="Times New Roman"/>
                <w:sz w:val="17"/>
                <w:szCs w:val="17"/>
                <w:color w:val="auto"/>
              </w:rPr>
              <w:t>(Address of principal executive offices, including zip code)</w:t>
            </w:r>
          </w:p>
        </w:tc>
        <w:tc>
          <w:tcPr>
            <w:tcW w:w="3440" w:type="dxa"/>
            <w:vAlign w:val="bottom"/>
          </w:tcPr>
          <w:p>
            <w:pPr>
              <w:spacing w:after="0"/>
              <w:rPr>
                <w:sz w:val="19"/>
                <w:szCs w:val="19"/>
                <w:color w:val="auto"/>
              </w:rPr>
            </w:pPr>
          </w:p>
        </w:tc>
      </w:tr>
      <w:tr>
        <w:trPr>
          <w:trHeight w:val="223"/>
        </w:trPr>
        <w:tc>
          <w:tcPr>
            <w:tcW w:w="3300" w:type="dxa"/>
            <w:vAlign w:val="bottom"/>
          </w:tcPr>
          <w:p>
            <w:pPr>
              <w:spacing w:after="0"/>
              <w:rPr>
                <w:sz w:val="19"/>
                <w:szCs w:val="19"/>
                <w:color w:val="auto"/>
              </w:rPr>
            </w:pPr>
          </w:p>
        </w:tc>
        <w:tc>
          <w:tcPr>
            <w:tcW w:w="4100" w:type="dxa"/>
            <w:vAlign w:val="bottom"/>
            <w:gridSpan w:val="3"/>
          </w:tcPr>
          <w:p>
            <w:pPr>
              <w:jc w:val="right"/>
              <w:ind w:right="1195"/>
              <w:spacing w:after="0"/>
              <w:rPr>
                <w:sz w:val="20"/>
                <w:szCs w:val="20"/>
                <w:color w:val="auto"/>
              </w:rPr>
            </w:pPr>
            <w:r>
              <w:rPr>
                <w:rFonts w:ascii="Times New Roman" w:cs="Times New Roman" w:eastAsia="Times New Roman" w:hAnsi="Times New Roman"/>
                <w:sz w:val="17"/>
                <w:szCs w:val="17"/>
                <w:b w:val="1"/>
                <w:bCs w:val="1"/>
                <w:color w:val="auto"/>
              </w:rPr>
              <w:t>(484) 328-4701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200"/>
        </w:trPr>
        <w:tc>
          <w:tcPr>
            <w:tcW w:w="3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c>
          <w:tcPr>
            <w:tcW w:w="3440" w:type="dxa"/>
            <w:vAlign w:val="bottom"/>
          </w:tcPr>
          <w:p>
            <w:pPr>
              <w:spacing w:after="0"/>
              <w:rPr>
                <w:sz w:val="17"/>
                <w:szCs w:val="17"/>
                <w:color w:val="auto"/>
              </w:rPr>
            </w:pPr>
          </w:p>
        </w:tc>
      </w:tr>
      <w:tr>
        <w:trPr>
          <w:trHeight w:val="190"/>
        </w:trPr>
        <w:tc>
          <w:tcPr>
            <w:tcW w:w="3300" w:type="dxa"/>
            <w:vAlign w:val="bottom"/>
          </w:tcPr>
          <w:p>
            <w:pPr>
              <w:spacing w:after="0"/>
              <w:rPr>
                <w:sz w:val="16"/>
                <w:szCs w:val="16"/>
                <w:color w:val="auto"/>
              </w:rPr>
            </w:pPr>
          </w:p>
        </w:tc>
        <w:tc>
          <w:tcPr>
            <w:tcW w:w="44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tc>
        <w:tc>
          <w:tcPr>
            <w:tcW w:w="3440" w:type="dxa"/>
            <w:vAlign w:val="bottom"/>
          </w:tcPr>
          <w:p>
            <w:pPr>
              <w:spacing w:after="0"/>
              <w:rPr>
                <w:sz w:val="16"/>
                <w:szCs w:val="16"/>
                <w:color w:val="auto"/>
              </w:rPr>
            </w:pPr>
          </w:p>
        </w:tc>
      </w:tr>
      <w:tr>
        <w:trPr>
          <w:trHeight w:val="238"/>
        </w:trPr>
        <w:tc>
          <w:tcPr>
            <w:tcW w:w="3300" w:type="dxa"/>
            <w:vAlign w:val="bottom"/>
          </w:tcPr>
          <w:p>
            <w:pPr>
              <w:spacing w:after="0"/>
              <w:rPr>
                <w:sz w:val="20"/>
                <w:szCs w:val="20"/>
                <w:color w:val="auto"/>
              </w:rPr>
            </w:pPr>
          </w:p>
        </w:tc>
        <w:tc>
          <w:tcPr>
            <w:tcW w:w="4440" w:type="dxa"/>
            <w:vAlign w:val="bottom"/>
            <w:gridSpan w:val="5"/>
          </w:tcPr>
          <w:p>
            <w:pPr>
              <w:jc w:val="center"/>
              <w:ind w:left="58"/>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440" w:type="dxa"/>
            <w:vAlign w:val="bottom"/>
          </w:tcPr>
          <w:p>
            <w:pPr>
              <w:spacing w:after="0"/>
              <w:rPr>
                <w:sz w:val="20"/>
                <w:szCs w:val="20"/>
                <w:color w:val="auto"/>
              </w:rPr>
            </w:pPr>
          </w:p>
        </w:tc>
      </w:tr>
      <w:tr>
        <w:trPr>
          <w:trHeight w:val="206"/>
        </w:trPr>
        <w:tc>
          <w:tcPr>
            <w:tcW w:w="3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Trading</w:t>
            </w:r>
          </w:p>
        </w:tc>
        <w:tc>
          <w:tcPr>
            <w:tcW w:w="344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Name of each exchange</w:t>
            </w:r>
          </w:p>
        </w:tc>
      </w:tr>
      <w:tr>
        <w:trPr>
          <w:trHeight w:val="226"/>
        </w:trPr>
        <w:tc>
          <w:tcPr>
            <w:tcW w:w="3300" w:type="dxa"/>
            <w:vAlign w:val="bottom"/>
          </w:tcPr>
          <w:p>
            <w:pPr>
              <w:jc w:val="center"/>
              <w:ind w:left="235"/>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symbol(s)</w:t>
            </w:r>
          </w:p>
        </w:tc>
        <w:tc>
          <w:tcPr>
            <w:tcW w:w="344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on which registered</w:t>
            </w:r>
          </w:p>
        </w:tc>
      </w:tr>
      <w:tr>
        <w:trPr>
          <w:trHeight w:val="29"/>
        </w:trPr>
        <w:tc>
          <w:tcPr>
            <w:tcW w:w="3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170"/>
        </w:trPr>
        <w:tc>
          <w:tcPr>
            <w:tcW w:w="3300" w:type="dxa"/>
            <w:vAlign w:val="bottom"/>
          </w:tcPr>
          <w:p>
            <w:pPr>
              <w:jc w:val="center"/>
              <w:ind w:left="235"/>
              <w:spacing w:after="0" w:line="170" w:lineRule="exact"/>
              <w:rPr>
                <w:sz w:val="20"/>
                <w:szCs w:val="20"/>
                <w:color w:val="auto"/>
              </w:rPr>
            </w:pPr>
            <w:r>
              <w:rPr>
                <w:rFonts w:ascii="Times New Roman" w:cs="Times New Roman" w:eastAsia="Times New Roman" w:hAnsi="Times New Roman"/>
                <w:sz w:val="17"/>
                <w:szCs w:val="17"/>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0" w:type="dxa"/>
            <w:vAlign w:val="bottom"/>
            <w:gridSpan w:val="3"/>
          </w:tcPr>
          <w:p>
            <w:pPr>
              <w:jc w:val="center"/>
              <w:ind w:right="340"/>
              <w:spacing w:after="0" w:line="170" w:lineRule="exact"/>
              <w:rPr>
                <w:sz w:val="20"/>
                <w:szCs w:val="20"/>
                <w:color w:val="auto"/>
              </w:rPr>
            </w:pPr>
            <w:r>
              <w:rPr>
                <w:rFonts w:ascii="Times New Roman" w:cs="Times New Roman" w:eastAsia="Times New Roman" w:hAnsi="Times New Roman"/>
                <w:sz w:val="17"/>
                <w:szCs w:val="17"/>
                <w:b w:val="1"/>
                <w:bCs w:val="1"/>
                <w:color w:val="auto"/>
                <w:w w:val="97"/>
              </w:rPr>
              <w:t>OCGN</w:t>
            </w:r>
          </w:p>
        </w:tc>
        <w:tc>
          <w:tcPr>
            <w:tcW w:w="3440" w:type="dxa"/>
            <w:vAlign w:val="bottom"/>
          </w:tcPr>
          <w:p>
            <w:pPr>
              <w:jc w:val="center"/>
              <w:ind w:right="155"/>
              <w:spacing w:after="0" w:line="170" w:lineRule="exact"/>
              <w:rPr>
                <w:sz w:val="20"/>
                <w:szCs w:val="20"/>
                <w:color w:val="auto"/>
              </w:rPr>
            </w:pPr>
            <w:r>
              <w:rPr>
                <w:rFonts w:ascii="Times New Roman" w:cs="Times New Roman" w:eastAsia="Times New Roman" w:hAnsi="Times New Roman"/>
                <w:sz w:val="17"/>
                <w:szCs w:val="17"/>
                <w:b w:val="1"/>
                <w:bCs w:val="1"/>
                <w:color w:val="auto"/>
              </w:rPr>
              <w:t>The Nasdaq Stock Market LLC</w:t>
            </w:r>
          </w:p>
        </w:tc>
      </w:tr>
      <w:tr>
        <w:trPr>
          <w:trHeight w:val="226"/>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rPr>
              <w:t>(The Nasdaq Capital Market)</w:t>
            </w:r>
          </w:p>
        </w:tc>
      </w:tr>
    </w:tbl>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 None</w:t>
      </w:r>
    </w:p>
    <w:p>
      <w:pPr>
        <w:spacing w:after="0" w:line="2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line="196" w:lineRule="exact"/>
        <w:tabs>
          <w:tab w:leader="none" w:pos="62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p>
      <w:pPr>
        <w:spacing w:after="0" w:line="36" w:lineRule="exact"/>
        <w:rPr>
          <w:sz w:val="24"/>
          <w:szCs w:val="24"/>
          <w:color w:val="auto"/>
        </w:rPr>
      </w:pPr>
    </w:p>
    <w:p>
      <w:pPr>
        <w:spacing w:after="0" w:line="196" w:lineRule="exact"/>
        <w:tabs>
          <w:tab w:leader="none" w:pos="62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1"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1"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0"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06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Accelerated filer</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06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2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Emerging growth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292"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1"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72" w:lineRule="exact"/>
        <w:rPr>
          <w:sz w:val="24"/>
          <w:szCs w:val="24"/>
          <w:color w:val="auto"/>
        </w:rPr>
      </w:pPr>
    </w:p>
    <w:p>
      <w:pPr>
        <w:jc w:val="both"/>
        <w:ind w:right="20"/>
        <w:spacing w:after="0" w:line="225"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71" w:lineRule="exact"/>
        <w:rPr>
          <w:sz w:val="24"/>
          <w:szCs w:val="24"/>
          <w:color w:val="auto"/>
        </w:rPr>
      </w:pPr>
    </w:p>
    <w:p>
      <w:pPr>
        <w:jc w:val="both"/>
        <w:ind w:right="20"/>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ectPr>
          <w:pgSz w:w="11900" w:h="16887" w:orient="portrait"/>
          <w:cols w:equalWidth="0" w:num="1">
            <w:col w:w="11240"/>
          </w:cols>
          <w:pgMar w:left="320" w:top="337" w:right="339" w:bottom="0" w:gutter="0" w:footer="0" w:header="0"/>
        </w:sectPr>
      </w:pPr>
    </w:p>
    <w:bookmarkStart w:id="1" w:name="page2"/>
    <w:bookmarkEnd w:id="1"/>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As of June 30, 2023, the last day of the registrant's most recently completed second fiscal quarter, the aggregate market value of the common stock held by non-affiliates of the registrant was approximately $137.3 million, based upon the closing price of the registrant's common stock on June 30,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April 9, 2024, there were 257,325,264 outstanding shares of the registrant's common stock, $0.01 par value per share.</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41"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Part III of this Annual Report on Form 10-K incorporates certain information by reference from the registrant's proxy statement for the 2024 annual meeting of stockholders to be filed no later than 120 days after the end of the registrant's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EXPLANATORY NOTE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FORWARD LOOKING STATEMENTS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10"/>
          </w:tcPr>
          <w:p>
            <w:pPr>
              <w:jc w:val="center"/>
              <w:ind w:right="3360"/>
              <w:spacing w:after="0"/>
              <w:rPr>
                <w:sz w:val="20"/>
                <w:szCs w:val="20"/>
                <w:color w:val="auto"/>
              </w:rPr>
            </w:pPr>
            <w:r>
              <w:rPr>
                <w:rFonts w:ascii="Times New Roman" w:cs="Times New Roman" w:eastAsia="Times New Roman" w:hAnsi="Times New Roman"/>
                <w:sz w:val="18"/>
                <w:szCs w:val="18"/>
                <w:color w:val="0000FF"/>
              </w:rPr>
              <w:t>Part I</w:t>
            </w:r>
          </w:p>
        </w:tc>
        <w:tc>
          <w:tcPr>
            <w:tcW w:w="0" w:type="dxa"/>
            <w:vAlign w:val="bottom"/>
          </w:tcPr>
          <w:p>
            <w:pPr>
              <w:spacing w:after="0"/>
              <w:rPr>
                <w:sz w:val="1"/>
                <w:szCs w:val="1"/>
                <w:color w:val="auto"/>
              </w:rPr>
            </w:pPr>
          </w:p>
        </w:tc>
      </w:tr>
      <w:tr>
        <w:trPr>
          <w:trHeight w:val="250"/>
        </w:trPr>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w:t>
            </w: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Business</w:t>
            </w:r>
          </w:p>
        </w:tc>
        <w:tc>
          <w:tcPr>
            <w:tcW w:w="400" w:type="dxa"/>
            <w:vAlign w:val="bottom"/>
            <w:tcBorders>
              <w:top w:val="single" w:sz="8" w:color="0000FF"/>
            </w:tcBorders>
            <w:gridSpan w:val="2"/>
          </w:tcPr>
          <w:p>
            <w:pPr>
              <w:spacing w:after="0"/>
              <w:rPr>
                <w:sz w:val="21"/>
                <w:szCs w:val="21"/>
                <w:color w:val="auto"/>
              </w:rPr>
            </w:pPr>
          </w:p>
        </w:tc>
        <w:tc>
          <w:tcPr>
            <w:tcW w:w="336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1A.</w:t>
            </w:r>
          </w:p>
        </w:tc>
        <w:tc>
          <w:tcPr>
            <w:tcW w:w="400" w:type="dxa"/>
            <w:vAlign w:val="bottom"/>
          </w:tcPr>
          <w:p>
            <w:pPr>
              <w:spacing w:after="0"/>
              <w:rPr>
                <w:sz w:val="21"/>
                <w:szCs w:val="21"/>
                <w:color w:val="auto"/>
              </w:rPr>
            </w:pPr>
          </w:p>
        </w:tc>
        <w:tc>
          <w:tcPr>
            <w:tcW w:w="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140" w:type="dxa"/>
            <w:vAlign w:val="bottom"/>
            <w:gridSpan w:val="2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1B.</w:t>
            </w:r>
          </w:p>
        </w:tc>
        <w:tc>
          <w:tcPr>
            <w:tcW w:w="420" w:type="dxa"/>
            <w:vAlign w:val="bottom"/>
            <w:gridSpan w:val="2"/>
          </w:tcPr>
          <w:p>
            <w:pPr>
              <w:spacing w:after="0"/>
              <w:rPr>
                <w:sz w:val="21"/>
                <w:szCs w:val="21"/>
                <w:color w:val="auto"/>
              </w:rPr>
            </w:pPr>
          </w:p>
        </w:tc>
        <w:tc>
          <w:tcPr>
            <w:tcW w:w="20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00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1C.</w:t>
            </w:r>
          </w:p>
        </w:tc>
        <w:tc>
          <w:tcPr>
            <w:tcW w:w="440" w:type="dxa"/>
            <w:vAlign w:val="bottom"/>
            <w:gridSpan w:val="3"/>
          </w:tcPr>
          <w:p>
            <w:pPr>
              <w:spacing w:after="0"/>
              <w:rPr>
                <w:sz w:val="21"/>
                <w:szCs w:val="21"/>
                <w:color w:val="auto"/>
              </w:rPr>
            </w:pP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0" w:type="dxa"/>
            <w:vAlign w:val="bottom"/>
          </w:tcPr>
          <w:p>
            <w:pPr>
              <w:spacing w:after="0"/>
              <w:rPr>
                <w:sz w:val="1"/>
                <w:szCs w:val="1"/>
                <w:color w:val="auto"/>
              </w:rPr>
            </w:pPr>
          </w:p>
        </w:tc>
      </w:tr>
      <w:tr>
        <w:trPr>
          <w:trHeight w:val="250"/>
        </w:trPr>
        <w:tc>
          <w:tcPr>
            <w:tcW w:w="6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2.</w:t>
            </w:r>
          </w:p>
        </w:tc>
        <w:tc>
          <w:tcPr>
            <w:tcW w:w="440" w:type="dxa"/>
            <w:vAlign w:val="bottom"/>
            <w:gridSpan w:val="3"/>
          </w:tcPr>
          <w:p>
            <w:pPr>
              <w:spacing w:after="0"/>
              <w:rPr>
                <w:sz w:val="21"/>
                <w:szCs w:val="21"/>
                <w:color w:val="auto"/>
              </w:rPr>
            </w:pP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040" w:type="dxa"/>
            <w:vAlign w:val="bottom"/>
            <w:gridSpan w:val="2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3.</w:t>
            </w: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4.</w:t>
            </w: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rPr>
              <w:t>Part II</w:t>
            </w:r>
          </w:p>
        </w:tc>
        <w:tc>
          <w:tcPr>
            <w:tcW w:w="332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5.</w:t>
            </w: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7.</w:t>
            </w: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7A</w:t>
            </w:r>
            <w:r>
              <w:rPr>
                <w:rFonts w:ascii="Times New Roman" w:cs="Times New Roman" w:eastAsia="Times New Roman" w:hAnsi="Times New Roman"/>
                <w:sz w:val="18"/>
                <w:szCs w:val="18"/>
                <w:color w:val="000000"/>
              </w:rPr>
              <w:t>.</w:t>
            </w: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0" w:type="dxa"/>
            <w:vAlign w:val="bottom"/>
          </w:tcPr>
          <w:p>
            <w:pPr>
              <w:spacing w:after="0"/>
              <w:rPr>
                <w:sz w:val="1"/>
                <w:szCs w:val="1"/>
                <w:color w:val="auto"/>
              </w:rPr>
            </w:pPr>
          </w:p>
        </w:tc>
      </w:tr>
      <w:tr>
        <w:trPr>
          <w:trHeight w:val="250"/>
        </w:trPr>
        <w:tc>
          <w:tcPr>
            <w:tcW w:w="6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8.</w:t>
            </w:r>
          </w:p>
        </w:tc>
        <w:tc>
          <w:tcPr>
            <w:tcW w:w="480" w:type="dxa"/>
            <w:vAlign w:val="bottom"/>
            <w:gridSpan w:val="5"/>
          </w:tcPr>
          <w:p>
            <w:pPr>
              <w:spacing w:after="0"/>
              <w:rPr>
                <w:sz w:val="21"/>
                <w:szCs w:val="21"/>
                <w:color w:val="auto"/>
              </w:rPr>
            </w:pPr>
          </w:p>
        </w:tc>
        <w:tc>
          <w:tcPr>
            <w:tcW w:w="43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68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9.</w:t>
            </w: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9A.</w:t>
            </w:r>
          </w:p>
        </w:tc>
        <w:tc>
          <w:tcPr>
            <w:tcW w:w="400" w:type="dxa"/>
            <w:vAlign w:val="bottom"/>
          </w:tcPr>
          <w:p>
            <w:pPr>
              <w:spacing w:after="0"/>
              <w:rPr>
                <w:sz w:val="21"/>
                <w:szCs w:val="21"/>
                <w:color w:val="auto"/>
              </w:rPr>
            </w:pP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0" w:type="dxa"/>
            <w:vAlign w:val="bottom"/>
          </w:tcPr>
          <w:p>
            <w:pPr>
              <w:spacing w:after="0"/>
              <w:rPr>
                <w:sz w:val="1"/>
                <w:szCs w:val="1"/>
                <w:color w:val="auto"/>
              </w:rPr>
            </w:pPr>
          </w:p>
        </w:tc>
      </w:tr>
      <w:tr>
        <w:trPr>
          <w:trHeight w:val="250"/>
        </w:trPr>
        <w:tc>
          <w:tcPr>
            <w:tcW w:w="6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9B.</w:t>
            </w:r>
          </w:p>
        </w:tc>
        <w:tc>
          <w:tcPr>
            <w:tcW w:w="20" w:type="dxa"/>
            <w:vAlign w:val="bottom"/>
            <w:tcBorders>
              <w:top w:val="single" w:sz="8" w:color="0000FF"/>
            </w:tcBorders>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28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9C.</w:t>
            </w:r>
          </w:p>
        </w:tc>
        <w:tc>
          <w:tcPr>
            <w:tcW w:w="420" w:type="dxa"/>
            <w:vAlign w:val="bottom"/>
            <w:gridSpan w:val="2"/>
          </w:tcPr>
          <w:p>
            <w:pPr>
              <w:spacing w:after="0"/>
              <w:rPr>
                <w:sz w:val="21"/>
                <w:szCs w:val="21"/>
                <w:color w:val="auto"/>
              </w:rPr>
            </w:pP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80" w:type="dxa"/>
            <w:vAlign w:val="bottom"/>
            <w:tcBorders>
              <w:top w:val="single" w:sz="8" w:color="0000FF"/>
            </w:tcBorders>
            <w:gridSpan w:val="7"/>
          </w:tcPr>
          <w:p>
            <w:pPr>
              <w:jc w:val="center"/>
              <w:ind w:right="160"/>
              <w:spacing w:after="0"/>
              <w:rPr>
                <w:sz w:val="20"/>
                <w:szCs w:val="20"/>
                <w:color w:val="auto"/>
              </w:rPr>
            </w:pPr>
            <w:r>
              <w:rPr>
                <w:rFonts w:ascii="Times New Roman" w:cs="Times New Roman" w:eastAsia="Times New Roman" w:hAnsi="Times New Roman"/>
                <w:sz w:val="18"/>
                <w:szCs w:val="18"/>
                <w:color w:val="0000FF"/>
              </w:rPr>
              <w:t>Part III</w:t>
            </w:r>
          </w:p>
        </w:tc>
        <w:tc>
          <w:tcPr>
            <w:tcW w:w="314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0" w:type="dxa"/>
            <w:vAlign w:val="bottom"/>
            <w:tcBorders>
              <w:bottom w:val="single" w:sz="8" w:color="0000FF"/>
            </w:tcBorders>
            <w:gridSpan w:val="4"/>
          </w:tcPr>
          <w:p>
            <w:pPr>
              <w:spacing w:after="0" w:line="203" w:lineRule="exact"/>
              <w:rPr>
                <w:sz w:val="20"/>
                <w:szCs w:val="20"/>
                <w:color w:val="auto"/>
              </w:rPr>
            </w:pPr>
            <w:r>
              <w:rPr>
                <w:rFonts w:ascii="Times New Roman" w:cs="Times New Roman" w:eastAsia="Times New Roman" w:hAnsi="Times New Roman"/>
                <w:sz w:val="18"/>
                <w:szCs w:val="18"/>
                <w:color w:val="0000FF"/>
                <w:w w:val="99"/>
              </w:rPr>
              <w:t>Item 10.</w:t>
            </w:r>
          </w:p>
        </w:tc>
        <w:tc>
          <w:tcPr>
            <w:tcW w:w="20" w:type="dxa"/>
            <w:vAlign w:val="bottom"/>
          </w:tcPr>
          <w:p>
            <w:pPr>
              <w:spacing w:after="0"/>
              <w:rPr>
                <w:sz w:val="19"/>
                <w:szCs w:val="19"/>
                <w:color w:val="auto"/>
              </w:rPr>
            </w:pPr>
          </w:p>
        </w:tc>
        <w:tc>
          <w:tcPr>
            <w:tcW w:w="460" w:type="dxa"/>
            <w:vAlign w:val="bottom"/>
            <w:gridSpan w:val="4"/>
          </w:tcPr>
          <w:p>
            <w:pPr>
              <w:spacing w:after="0"/>
              <w:rPr>
                <w:sz w:val="19"/>
                <w:szCs w:val="19"/>
                <w:color w:val="auto"/>
              </w:rPr>
            </w:pPr>
          </w:p>
        </w:tc>
        <w:tc>
          <w:tcPr>
            <w:tcW w:w="42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20" w:type="dxa"/>
            <w:vAlign w:val="bottom"/>
            <w:tcBorders>
              <w:top w:val="single" w:sz="8" w:color="0000FF"/>
              <w:bottom w:val="single" w:sz="8" w:color="0000FF"/>
            </w:tcBorders>
            <w:gridSpan w:val="6"/>
          </w:tcPr>
          <w:p>
            <w:pPr>
              <w:spacing w:after="0"/>
              <w:rPr>
                <w:sz w:val="19"/>
                <w:szCs w:val="19"/>
                <w:color w:val="auto"/>
              </w:rPr>
            </w:pPr>
          </w:p>
        </w:tc>
        <w:tc>
          <w:tcPr>
            <w:tcW w:w="33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540" w:type="dxa"/>
            <w:vAlign w:val="bottom"/>
            <w:tcBorders>
              <w:bottom w:val="single" w:sz="8" w:color="0000FF"/>
            </w:tcBorders>
            <w:gridSpan w:val="6"/>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0" w:type="dxa"/>
            <w:vAlign w:val="bottom"/>
            <w:tcBorders>
              <w:bottom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00" w:type="dxa"/>
            <w:vAlign w:val="bottom"/>
            <w:tcBorders>
              <w:bottom w:val="single" w:sz="8" w:color="0000FF"/>
            </w:tcBorders>
            <w:gridSpan w:val="3"/>
            <w:vMerge w:val="continue"/>
          </w:tcPr>
          <w:p>
            <w:pPr>
              <w:spacing w:after="0"/>
              <w:rPr>
                <w:sz w:val="18"/>
                <w:szCs w:val="18"/>
                <w:color w:val="auto"/>
              </w:rPr>
            </w:pPr>
          </w:p>
        </w:tc>
        <w:tc>
          <w:tcPr>
            <w:tcW w:w="40" w:type="dxa"/>
            <w:vAlign w:val="bottom"/>
            <w:gridSpan w:val="2"/>
          </w:tcPr>
          <w:p>
            <w:pPr>
              <w:spacing w:after="0"/>
              <w:rPr>
                <w:sz w:val="18"/>
                <w:szCs w:val="18"/>
                <w:color w:val="auto"/>
              </w:rPr>
            </w:pPr>
          </w:p>
        </w:tc>
        <w:tc>
          <w:tcPr>
            <w:tcW w:w="460" w:type="dxa"/>
            <w:vAlign w:val="bottom"/>
            <w:gridSpan w:val="4"/>
          </w:tcPr>
          <w:p>
            <w:pPr>
              <w:spacing w:after="0"/>
              <w:rPr>
                <w:sz w:val="18"/>
                <w:szCs w:val="18"/>
                <w:color w:val="auto"/>
              </w:rPr>
            </w:pP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0" w:type="dxa"/>
            <w:vAlign w:val="bottom"/>
          </w:tcPr>
          <w:p>
            <w:pPr>
              <w:spacing w:after="0"/>
              <w:rPr>
                <w:sz w:val="1"/>
                <w:szCs w:val="1"/>
                <w:color w:val="auto"/>
              </w:rPr>
            </w:pPr>
          </w:p>
        </w:tc>
      </w:tr>
      <w:tr>
        <w:trPr>
          <w:trHeight w:val="20"/>
        </w:trPr>
        <w:tc>
          <w:tcPr>
            <w:tcW w:w="6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Item 12.</w:t>
            </w:r>
          </w:p>
        </w:tc>
        <w:tc>
          <w:tcPr>
            <w:tcW w:w="460" w:type="dxa"/>
            <w:vAlign w:val="bottom"/>
            <w:gridSpan w:val="4"/>
          </w:tcPr>
          <w:p>
            <w:pPr>
              <w:spacing w:after="0" w:line="20" w:lineRule="exact"/>
              <w:rPr>
                <w:sz w:val="1"/>
                <w:szCs w:val="1"/>
                <w:color w:val="auto"/>
              </w:rPr>
            </w:pPr>
          </w:p>
        </w:tc>
        <w:tc>
          <w:tcPr>
            <w:tcW w:w="1540" w:type="dxa"/>
            <w:vAlign w:val="bottom"/>
            <w:tcBorders>
              <w:bottom w:val="single" w:sz="8" w:color="0000FF"/>
            </w:tcBorders>
            <w:gridSpan w:val="6"/>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0" w:type="dxa"/>
            <w:vAlign w:val="bottom"/>
            <w:tcBorders>
              <w:bottom w:val="single" w:sz="8" w:color="0000FF"/>
            </w:tcBorders>
            <w:gridSpan w:val="5"/>
            <w:vMerge w:val="continue"/>
          </w:tcPr>
          <w:p>
            <w:pPr>
              <w:spacing w:after="0"/>
              <w:rPr>
                <w:sz w:val="18"/>
                <w:szCs w:val="18"/>
                <w:color w:val="auto"/>
              </w:rPr>
            </w:pPr>
          </w:p>
        </w:tc>
        <w:tc>
          <w:tcPr>
            <w:tcW w:w="460" w:type="dxa"/>
            <w:vAlign w:val="bottom"/>
            <w:gridSpan w:val="4"/>
          </w:tcPr>
          <w:p>
            <w:pPr>
              <w:spacing w:after="0"/>
              <w:rPr>
                <w:sz w:val="18"/>
                <w:szCs w:val="18"/>
                <w:color w:val="auto"/>
              </w:rPr>
            </w:pP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0" w:type="dxa"/>
            <w:vAlign w:val="bottom"/>
          </w:tcPr>
          <w:p>
            <w:pPr>
              <w:spacing w:after="0"/>
              <w:rPr>
                <w:sz w:val="1"/>
                <w:szCs w:val="1"/>
                <w:color w:val="auto"/>
              </w:rPr>
            </w:pPr>
          </w:p>
        </w:tc>
      </w:tr>
      <w:tr>
        <w:trPr>
          <w:trHeight w:val="20"/>
        </w:trPr>
        <w:tc>
          <w:tcPr>
            <w:tcW w:w="1100" w:type="dxa"/>
            <w:vAlign w:val="bottom"/>
            <w:gridSpan w:val="9"/>
          </w:tcPr>
          <w:p>
            <w:pPr>
              <w:spacing w:after="0" w:line="20" w:lineRule="exact"/>
              <w:rPr>
                <w:sz w:val="1"/>
                <w:szCs w:val="1"/>
                <w:color w:val="auto"/>
              </w:rPr>
            </w:pPr>
          </w:p>
        </w:tc>
        <w:tc>
          <w:tcPr>
            <w:tcW w:w="1540" w:type="dxa"/>
            <w:vAlign w:val="bottom"/>
            <w:tcBorders>
              <w:bottom w:val="single" w:sz="8" w:color="0000FF"/>
            </w:tcBorders>
            <w:gridSpan w:val="6"/>
          </w:tcPr>
          <w:p>
            <w:pPr>
              <w:spacing w:after="0" w:line="20" w:lineRule="exact"/>
              <w:rPr>
                <w:sz w:val="1"/>
                <w:szCs w:val="1"/>
                <w:color w:val="auto"/>
              </w:rPr>
            </w:pPr>
          </w:p>
        </w:tc>
        <w:tc>
          <w:tcPr>
            <w:tcW w:w="1320" w:type="dxa"/>
            <w:vAlign w:val="bottom"/>
            <w:tcBorders>
              <w:bottom w:val="single" w:sz="8" w:color="0000FF"/>
            </w:tcBorders>
            <w:gridSpan w:val="4"/>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140" w:type="dxa"/>
            <w:vAlign w:val="bottom"/>
            <w:tcBorders>
              <w:bottom w:val="single" w:sz="8" w:color="0000FF"/>
            </w:tcBorders>
            <w:gridSpan w:val="3"/>
          </w:tcPr>
          <w:p>
            <w:pPr>
              <w:spacing w:after="0" w:line="20" w:lineRule="exact"/>
              <w:rPr>
                <w:sz w:val="1"/>
                <w:szCs w:val="1"/>
                <w:color w:val="auto"/>
              </w:rPr>
            </w:pPr>
          </w:p>
        </w:tc>
        <w:tc>
          <w:tcPr>
            <w:tcW w:w="520" w:type="dxa"/>
            <w:vAlign w:val="bottom"/>
            <w:tcBorders>
              <w:bottom w:val="single" w:sz="8" w:color="0000FF"/>
            </w:tcBorders>
            <w:gridSpan w:val="6"/>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1840" w:type="dxa"/>
            <w:vAlign w:val="bottom"/>
            <w:tcBorders>
              <w:bottom w:val="single" w:sz="8" w:color="0000FF"/>
            </w:tcBorders>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13.</w:t>
            </w:r>
          </w:p>
        </w:tc>
        <w:tc>
          <w:tcPr>
            <w:tcW w:w="460" w:type="dxa"/>
            <w:vAlign w:val="bottom"/>
            <w:gridSpan w:val="4"/>
          </w:tcPr>
          <w:p>
            <w:pPr>
              <w:spacing w:after="0"/>
              <w:rPr>
                <w:sz w:val="18"/>
                <w:szCs w:val="18"/>
                <w:color w:val="auto"/>
              </w:rPr>
            </w:pP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0" w:type="dxa"/>
            <w:vAlign w:val="bottom"/>
          </w:tcPr>
          <w:p>
            <w:pPr>
              <w:spacing w:after="0"/>
              <w:rPr>
                <w:sz w:val="1"/>
                <w:szCs w:val="1"/>
                <w:color w:val="auto"/>
              </w:rPr>
            </w:pPr>
          </w:p>
        </w:tc>
      </w:tr>
      <w:tr>
        <w:trPr>
          <w:trHeight w:val="20"/>
        </w:trPr>
        <w:tc>
          <w:tcPr>
            <w:tcW w:w="1100" w:type="dxa"/>
            <w:vAlign w:val="bottom"/>
            <w:gridSpan w:val="9"/>
          </w:tcPr>
          <w:p>
            <w:pPr>
              <w:spacing w:after="0" w:line="20" w:lineRule="exact"/>
              <w:rPr>
                <w:sz w:val="1"/>
                <w:szCs w:val="1"/>
                <w:color w:val="auto"/>
              </w:rPr>
            </w:pPr>
          </w:p>
        </w:tc>
        <w:tc>
          <w:tcPr>
            <w:tcW w:w="1540" w:type="dxa"/>
            <w:vAlign w:val="bottom"/>
            <w:tcBorders>
              <w:bottom w:val="single" w:sz="8" w:color="0000FF"/>
            </w:tcBorders>
            <w:gridSpan w:val="6"/>
          </w:tcPr>
          <w:p>
            <w:pPr>
              <w:spacing w:after="0" w:line="20" w:lineRule="exact"/>
              <w:rPr>
                <w:sz w:val="1"/>
                <w:szCs w:val="1"/>
                <w:color w:val="auto"/>
              </w:rPr>
            </w:pPr>
          </w:p>
        </w:tc>
        <w:tc>
          <w:tcPr>
            <w:tcW w:w="1320" w:type="dxa"/>
            <w:vAlign w:val="bottom"/>
            <w:tcBorders>
              <w:bottom w:val="single" w:sz="8" w:color="0000FF"/>
            </w:tcBorders>
            <w:gridSpan w:val="4"/>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140" w:type="dxa"/>
            <w:vAlign w:val="bottom"/>
            <w:tcBorders>
              <w:bottom w:val="single" w:sz="8" w:color="0000FF"/>
            </w:tcBorders>
            <w:gridSpan w:val="3"/>
          </w:tcPr>
          <w:p>
            <w:pPr>
              <w:spacing w:after="0" w:line="20" w:lineRule="exact"/>
              <w:rPr>
                <w:sz w:val="1"/>
                <w:szCs w:val="1"/>
                <w:color w:val="auto"/>
              </w:rPr>
            </w:pPr>
          </w:p>
        </w:tc>
        <w:tc>
          <w:tcPr>
            <w:tcW w:w="520" w:type="dxa"/>
            <w:vAlign w:val="bottom"/>
            <w:tcBorders>
              <w:bottom w:val="single" w:sz="8" w:color="0000FF"/>
            </w:tcBorders>
            <w:gridSpan w:val="6"/>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480" w:type="dxa"/>
            <w:vAlign w:val="bottom"/>
            <w:gridSpan w:val="5"/>
          </w:tcPr>
          <w:p>
            <w:pPr>
              <w:spacing w:after="0"/>
              <w:rPr>
                <w:sz w:val="18"/>
                <w:szCs w:val="18"/>
                <w:color w:val="auto"/>
              </w:rPr>
            </w:pP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20" w:type="dxa"/>
            <w:vAlign w:val="bottom"/>
            <w:gridSpan w:val="12"/>
            <w:vMerge w:val="restart"/>
          </w:tcPr>
          <w:p>
            <w:pPr>
              <w:jc w:val="center"/>
              <w:ind w:right="3300"/>
              <w:spacing w:after="0"/>
              <w:rPr>
                <w:sz w:val="20"/>
                <w:szCs w:val="20"/>
                <w:color w:val="auto"/>
              </w:rPr>
            </w:pPr>
            <w:r>
              <w:rPr>
                <w:rFonts w:ascii="Times New Roman" w:cs="Times New Roman" w:eastAsia="Times New Roman" w:hAnsi="Times New Roman"/>
                <w:sz w:val="18"/>
                <w:szCs w:val="18"/>
                <w:color w:val="0000FF"/>
                <w:w w:val="98"/>
              </w:rPr>
              <w:t>Part IV</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gridSpan w:val="1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15.</w:t>
            </w:r>
          </w:p>
        </w:tc>
        <w:tc>
          <w:tcPr>
            <w:tcW w:w="460" w:type="dxa"/>
            <w:vAlign w:val="bottom"/>
            <w:gridSpan w:val="4"/>
          </w:tcPr>
          <w:p>
            <w:pPr>
              <w:spacing w:after="0"/>
              <w:rPr>
                <w:sz w:val="19"/>
                <w:szCs w:val="19"/>
                <w:color w:val="auto"/>
              </w:rPr>
            </w:pPr>
          </w:p>
        </w:tc>
        <w:tc>
          <w:tcPr>
            <w:tcW w:w="42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520" w:type="dxa"/>
            <w:vAlign w:val="bottom"/>
            <w:tcBorders>
              <w:top w:val="single" w:sz="8" w:color="0000FF"/>
              <w:bottom w:val="single" w:sz="8" w:color="0000FF"/>
            </w:tcBorders>
            <w:gridSpan w:val="6"/>
          </w:tcPr>
          <w:p>
            <w:pPr>
              <w:spacing w:after="0"/>
              <w:rPr>
                <w:sz w:val="19"/>
                <w:szCs w:val="19"/>
                <w:color w:val="auto"/>
              </w:rPr>
            </w:pPr>
          </w:p>
        </w:tc>
        <w:tc>
          <w:tcPr>
            <w:tcW w:w="33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gridSpan w:val="9"/>
          </w:tcPr>
          <w:p>
            <w:pPr>
              <w:spacing w:after="0" w:line="20" w:lineRule="exact"/>
              <w:rPr>
                <w:sz w:val="1"/>
                <w:szCs w:val="1"/>
                <w:color w:val="auto"/>
              </w:rPr>
            </w:pPr>
          </w:p>
        </w:tc>
        <w:tc>
          <w:tcPr>
            <w:tcW w:w="1540" w:type="dxa"/>
            <w:vAlign w:val="bottom"/>
            <w:tcBorders>
              <w:bottom w:val="single" w:sz="8" w:color="0000FF"/>
            </w:tcBorders>
            <w:gridSpan w:val="6"/>
          </w:tcPr>
          <w:p>
            <w:pPr>
              <w:spacing w:after="0" w:line="20" w:lineRule="exact"/>
              <w:rPr>
                <w:sz w:val="1"/>
                <w:szCs w:val="1"/>
                <w:color w:val="auto"/>
              </w:rPr>
            </w:pPr>
          </w:p>
        </w:tc>
        <w:tc>
          <w:tcPr>
            <w:tcW w:w="1540" w:type="dxa"/>
            <w:vAlign w:val="bottom"/>
            <w:tcBorders>
              <w:bottom w:val="single" w:sz="8" w:color="0000FF"/>
            </w:tcBorders>
            <w:gridSpan w:val="5"/>
          </w:tcPr>
          <w:p>
            <w:pPr>
              <w:spacing w:after="0" w:line="20" w:lineRule="exact"/>
              <w:rPr>
                <w:sz w:val="1"/>
                <w:szCs w:val="1"/>
                <w:color w:val="auto"/>
              </w:rPr>
            </w:pPr>
          </w:p>
        </w:tc>
        <w:tc>
          <w:tcPr>
            <w:tcW w:w="49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16.</w:t>
            </w:r>
          </w:p>
        </w:tc>
        <w:tc>
          <w:tcPr>
            <w:tcW w:w="460" w:type="dxa"/>
            <w:vAlign w:val="bottom"/>
            <w:gridSpan w:val="4"/>
          </w:tcPr>
          <w:p>
            <w:pPr>
              <w:spacing w:after="0"/>
              <w:rPr>
                <w:sz w:val="18"/>
                <w:szCs w:val="18"/>
                <w:color w:val="auto"/>
              </w:rPr>
            </w:pP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34290</wp:posOffset>
            </wp:positionV>
            <wp:extent cx="694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32</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79</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79</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80</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80</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80</w:t>
      </w:r>
    </w:p>
    <w:p>
      <w:pPr>
        <w:spacing w:after="0" w:line="33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81</w:t>
      </w:r>
    </w:p>
    <w:p>
      <w:pPr>
        <w:spacing w:after="0" w:line="9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82</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92</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92</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92</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92</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93</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93</w:t>
      </w:r>
    </w:p>
    <w:p>
      <w:pPr>
        <w:spacing w:after="0" w:line="29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94</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94</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94</w:t>
      </w:r>
    </w:p>
    <w:p>
      <w:pPr>
        <w:spacing w:after="0" w:line="9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94</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94</w:t>
      </w:r>
    </w:p>
    <w:p>
      <w:pPr>
        <w:spacing w:after="0" w:line="29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95</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99</w:t>
      </w:r>
    </w:p>
    <w:p>
      <w:pPr>
        <w:spacing w:after="0" w:line="200" w:lineRule="exact"/>
        <w:rPr>
          <w:sz w:val="20"/>
          <w:szCs w:val="20"/>
          <w:color w:val="auto"/>
        </w:rPr>
      </w:pPr>
    </w:p>
    <w:p>
      <w:pPr>
        <w:spacing w:after="0" w:line="32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F-1</w:t>
      </w:r>
    </w:p>
    <w:p>
      <w:pPr>
        <w:spacing w:after="0" w:line="204" w:lineRule="exact"/>
        <w:rPr>
          <w:sz w:val="20"/>
          <w:szCs w:val="20"/>
          <w:color w:val="auto"/>
        </w:rPr>
      </w:pPr>
    </w:p>
    <w:p>
      <w:pPr>
        <w:sectPr>
          <w:pgSz w:w="11900" w:h="16838" w:orient="portrait"/>
          <w:cols w:equalWidth="0" w:num="2">
            <w:col w:w="9780" w:space="720"/>
            <w:col w:w="740"/>
          </w:cols>
          <w:pgMar w:left="320" w:top="337" w:right="339" w:bottom="1440" w:gutter="0" w:footer="0" w:header="0"/>
        </w:sectPr>
      </w:pPr>
    </w:p>
    <w:p>
      <w:pPr>
        <w:spacing w:after="0" w:line="22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to the "Company," "we," "our," or "us" in this report refer to Ocugen, Inc. and its subsidiaries, and references to "OpCo" refer to Ocugen OpCo, Inc., the Company's wholly owned subsidiary.</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Ocugen, Inc. (the “Company”) is filing this Annual Report on Form 10-K for the fiscal year ended December 31, 2023. This Form 10-K contains our audited financial statements for the year ended December 31, 2023, and restates certain financial information and related footnote disclosures in the Company’s previously issued audited financial statements included in the Company's 2022 Annual Report on Form 10-K as well as unaudited interim financial statements included in the Company’s Quarterly Reports on Forms 10-Q for each of the quarterly and year to date periods ended September 30, 2022, June 30, 2022, March 31, 2022, September 30, 2023, June 30, 2023, and March 31, 2023 (collectively, the “Previously Issued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Restatement</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On April 1, 2024, the Audit Committee (the “Audit Committee”) of the Company’s Board of Directors, after discussion with senior management and the Company’s independent registered public accountants, concluded that the Company's Previously Issued Financial Statements should be restated and no longer relied upon due to the Company not appropriately accounting for the estimated non-cash consideration and expense in its collaboration arrangements.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information that had been previously filed or otherwise reported for the Previously Issued Financial Statements is superseded by the information in this Form 10-K, and should no longer be relied upon. Similarly, any previously issued or filed reports, earnings releases, and investor presentations or other communications describing the Company’s financial statements and other related financial information covering the Previously Issued Financial Statement should no longer be relied upon.</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Refer to “Part I. Item 1A. Risk Factors”, “Part II. Item 7. Management's Discussion and Analysis of Financial Condition and Results of Operations”, and “Part IV. Note 16—Restatement of Previously Issued Financial Statements” to the accompanying financial statements for additional information, including the impact on the specific accounts.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Considerations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restatement, management has re-evaluated the effectiveness of the Company’s disclosure controls and procedures and internal control over financial reporting as of the dates of the Previously Issued Financial Statements. The Company’s management has concluded that, in light of the restatement described above, a material weakness exists in the Company’s internal control over financial reporting with respect to the design and operating effectiveness of controls over the accounting for collaborative arrangement revenue and that the Company’s disclosure controls and procedures were not effective. For a discussion of management’s consideration of our disclosure controls and procedures, internal controls over financial reporting, and the material weaknesses identified, see Part II, Item 9A, “Controls and Procedures”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and the documents incorporated by reference herein contain forward-looking statements that involve substantial risks and uncertainties. All statements, other than statements of historical facts contained in this Annual Report on Form 10-K or the documents incorporated by reference herein, regarding our strategy, future operations, future financial position, future revenues, projected costs, prospects, plans, and objectives of management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"estimate," "expect," "intend," "may," "plan," "predict," "project," "will," "would,"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and the documents incorporated herein by reference include, among other things, statements about:</w:t>
      </w:r>
    </w:p>
    <w:p>
      <w:pPr>
        <w:spacing w:after="0" w:line="54"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and capital requirements, as well as the timing, availability of, and the need for, additional financing to continue to advance our product candidates;</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with respect to OCU400, OCU410 and OCU410ST including the results from our ongoing Phase 1/2 trials, our ability to initiate a Phase 3 trial for OCU400 for the treatment of retinitis pigmentosa ("RP"), our ability to reach alignment with the FDA on the Phase 3 study design for OCU400 for the treatment of Leber congenital amaurosis ("LCA"), and our ability to subsequently initiate and complete a Phase 3 trial;</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from government agencies in the United States and/or other countries to continue the development of our inhaled mucosal vaccine platform;</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associated with the clinical development and regulatory approval of our product candidates including potential delays in the initiation, enrollment, and completion of current and future clinical trials, including our ability to resolve the FDA's clinical hold on our IND application for OCU200;</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our product candidates and preclinical programs being developed and anticipated to be developed, in light of inherent risks and difficulties involved in successfully commercializing products and the risk that our products, if approved, may not achieve broad market acceptance;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schemes and other regulatory developments applicable to our business in the United States and other countries;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third-parties upon which we depend, including contract development and manufacturing organizations, suppliers, manufacturers, group purchasing organizations, distributors, and logistics providers;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commercialized;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or obtain licenses to intellectual property and defend our intellectual property rights against third-parties;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and contracts with our key collaborators and commercial partners and our ability to establish additional collaborations and partnerships;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or arising from the restatement of our Previously Issued Financial Statements;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stringent United States and applicable foreign government regulations with respect to the manufacturing of pharmaceutical products, including compliance with current Good Manufacturing Practice regulations, and other relevant regulatory authorities; and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health epidemics and other outbreaks of communicable diseases, geopolitical turmoil, macroeconomic conditions, social unrest, political instability, terrorism, or acts of war could disrupt our business and operations, including impacts on our development programs, global supply chain, and collaborators and manufacturers.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under "Risk Factors," that we believe could cause actual results or events to differ materially from the forward-looking statements that we make. Our forward-looking statements do not reflect the potential impact of any future acquisitions, mergers, dispositions, joint ventures, collaborations, investments, or other significant transactions we may make.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incorporate by reference herein and have filed as exhibits to this Annual Report on Form 10-K, completely and with the understanding that our actual future results may be materially different from what we expect. We do not assume any obligation to update any forward-looking statements.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 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Solely for convenience, tradenames and trademarks referred to in this Annual Report on Form 10-K appear without the ® or ™ symbols, but those references are not intended to indicate, in any way, that we will not assert, to the fullest extent under applicable law, our rights or that the applicable owner will not assert its rights, to these tradenames or trademarks, as applicable. All tradenames, trademarks, and service marks included or incorporated by reference in this Annual Report on Form 10-K are the property of their respective owners. The name NeoCart has not been evaluated or cleared by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biotechnology company focused on discovering, developing, and commercializing novel gene and cell therapies and vaccines that improve health and offer hope for patients across the globe.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technology pipeline includes:</w:t>
      </w:r>
    </w:p>
    <w:p>
      <w:pPr>
        <w:spacing w:after="0" w:line="16" w:lineRule="exact"/>
        <w:rPr>
          <w:sz w:val="20"/>
          <w:szCs w:val="20"/>
          <w:color w:val="auto"/>
        </w:rPr>
      </w:pPr>
    </w:p>
    <w:p>
      <w:pPr>
        <w:ind w:left="660" w:right="40" w:hanging="328"/>
        <w:spacing w:after="0" w:line="234"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Modifier Gene Therapy Platform </w:t>
      </w:r>
      <w:r>
        <w:rPr>
          <w:rFonts w:ascii="Times New Roman" w:cs="Times New Roman" w:eastAsia="Times New Roman" w:hAnsi="Times New Roman"/>
          <w:sz w:val="18"/>
          <w:szCs w:val="18"/>
          <w:color w:val="auto"/>
        </w:rPr>
        <w:t>— Based on the use of nuclear hormone receptors ("NHRs"), we believe our modifier gene therapy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potential to address many retinal diseases, including rare diseases such as retinitis pigmentosa ("RP") (OCU400) and Leber congenital amaurosis ("LCA") (OCU400), with a gene-agnostic approach. We also believe our modifier gene therapy platform has the potential to address many retinal diseases, including a multifactorial dry age-related macular degeneration ("dAMD") using OCU410, which we believe has the potential to treat millions of patients, and Stargardt disease (OCU410ST), which is also a rare disease. We received clearance from FDA to initiate a Phase 3 trial for OCU400 for the treatment of RP and intend to begin dosing patients in 2Q, 2024. We further expect to expand OCU400 Phase 3 development in LCA patients in the second half of 2024 based on Phase 1/2 study results in LCA patients and subject to alignment with the FDA. Currently both OCU410, for the treatment of geographic atrophy ("GA") patients, and OCU410ST, for the treatment of Stargardt patients, programs are in Phase 1/2 clinical development.</w:t>
      </w:r>
    </w:p>
    <w:p>
      <w:pPr>
        <w:spacing w:after="0" w:line="211" w:lineRule="exact"/>
        <w:rPr>
          <w:rFonts w:ascii="Times New Roman" w:cs="Times New Roman" w:eastAsia="Times New Roman" w:hAnsi="Times New Roman"/>
          <w:sz w:val="18"/>
          <w:szCs w:val="18"/>
          <w:b w:val="1"/>
          <w:bCs w:val="1"/>
          <w:color w:val="auto"/>
        </w:rPr>
      </w:pPr>
    </w:p>
    <w:p>
      <w:pPr>
        <w:ind w:left="660" w:hanging="328"/>
        <w:spacing w:after="0" w:line="243"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Novel Biologic Therapy for Retinal Diseases </w:t>
      </w:r>
      <w:r>
        <w:rPr>
          <w:rFonts w:ascii="Times New Roman" w:cs="Times New Roman" w:eastAsia="Times New Roman" w:hAnsi="Times New Roman"/>
          <w:sz w:val="18"/>
          <w:szCs w:val="18"/>
          <w:color w:val="auto"/>
        </w:rPr>
        <w:t>— OCU200 is a novel fusion protein consisting of two human proteins, tumstatin and transferrin.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OCU200 possesses unique features which potentially enable it to treat vascular complications of diabetic macular edema ("DME"), diabetic retinopathy ("DR") and wet AMD. Tumstatin is the active component of OCU200 and binds to integrin receptors, which play a crucial role in disease pathogenesis. Transferrin is expected to facilitate the targeted delivery of tumstatin into the retina and choroid and potentially help increase the interaction between tumstatin and integrin receptors. We continue to work with the FDA to address comments to lift the clinical hold.</w:t>
      </w:r>
    </w:p>
    <w:p>
      <w:pPr>
        <w:spacing w:after="0" w:line="86"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Regenerative Medicine Cell Therapy Platform </w:t>
      </w:r>
      <w:r>
        <w:rPr>
          <w:rFonts w:ascii="Times New Roman" w:cs="Times New Roman" w:eastAsia="Times New Roman" w:hAnsi="Times New Roman"/>
          <w:sz w:val="18"/>
          <w:szCs w:val="18"/>
          <w:color w:val="auto"/>
        </w:rPr>
        <w:t>— Our Phase 3-ready regenerative medicine cell therapy platform technology, which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NeoCart (autologous chondrocyte-derived neocartilage), is being developed for the repair of knee cartilage injuries in adults. We received concurrence from the FDA on the confirmatory Phase 3 trial design and have completed renovating an existing facility into a current Good Manufacturing Practice ("GMP") facility to support clinical study and initial commercial launch.</w:t>
      </w:r>
    </w:p>
    <w:p>
      <w:pPr>
        <w:spacing w:after="0" w:line="68"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Inhaled Mucosal Vaccine Platform </w:t>
      </w:r>
      <w:r>
        <w:rPr>
          <w:rFonts w:ascii="Times New Roman" w:cs="Times New Roman" w:eastAsia="Times New Roman" w:hAnsi="Times New Roman"/>
          <w:sz w:val="18"/>
          <w:szCs w:val="18"/>
          <w:color w:val="auto"/>
        </w:rPr>
        <w:t>— Our next-generation, inhaled mucosal vaccine platform includes OCU500, a COVID-19 vaccine;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OCU510, a seasonal quadrivalent flu vaccine; and OCU520, a combination quadrivalent seasonal flu and COVID-19 vaccine. We are conducting IND enabling and product development activities for our OCU500 product and planning to submit an Investigational New Drug ("IND") in 2024. We are currently collaborating with the National Institute of Allergy and Infectious Diseases ("NIAID") for early clinical studies for the OCU500 program. We expect OCU500 clinical trials to begin mid-2024. We are continuing discussions with relevant government agencies regarding developmental funding for our OCU510 and OCU520 platforms.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Modifier Gene Therapy Platform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developing a modifier gene therapy platform designed to fulfill unmet medical needs related to retinal diseases, including inherited retinal diseases ("IRDs"), such as RP, LCA, Stargardt disease and multifactorial diseases such as dAMD and GA. Our modifier gene therapy platform is based on the use of NHRs, which have the potential to restore homeostasis — the basic biological processes in the retina from disease state to normal state. Unlike single-gene replacement therapies, which only target one genetic mutation, our modifier gene therapy platform, through its use of NHRs, represents a unique approach and has demonstrated potential to address multiple retinal diseases caused by mutations in multiple genes in our Phase 1/2 clinical study. This has potential of a gene-agnostic therapy addressing complex diseases that are potentially caused by imbalances in multiple gene networks in the disease condition. OCU400, our first product candidate in our modifier gene therapy platform, has received Orphan Drug Designation ("ODD") from the United States Food and Drug Administration ("FDA") for RP and LCA, a regenerative medicine advanced therapy ("RMAT") designation to OCU400 for the treatment of RP associated with NR2E3 and rhodopsin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mutations from the FDA, and Orphan Medicinal Product Designation ("OMPD") from the European Commission ("EC"), based on the recommendation of the European Medicines Agency ("EMA"), for RP and LCA. These broad ODD, RMAT, and OMPD designations further support broad-spectrum (gene agnostic) therapeutic potential of OCU400 to treat multiple IRDs such as RP and LCA associated with mutations in multiple genes.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completed enrolling, dosing, and recruiting RP and LCA patients in the Phase 1/2 trial for OCU400. The objective of this study was to assess the safety and efficacy using 3 different treatment doses of unilateral subretinal administration of OCU400 in NR2E3 and rhodopsin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-related </w:t>
      </w:r>
      <w:r>
        <w:rPr>
          <w:rFonts w:ascii="Times New Roman" w:cs="Times New Roman" w:eastAsia="Times New Roman" w:hAnsi="Times New Roman"/>
          <w:sz w:val="18"/>
          <w:szCs w:val="18"/>
          <w:i w:val="1"/>
          <w:iCs w:val="1"/>
          <w:color w:val="auto"/>
        </w:rPr>
        <w:t>RP</w:t>
      </w:r>
      <w:r>
        <w:rPr>
          <w:rFonts w:ascii="Times New Roman" w:cs="Times New Roman" w:eastAsia="Times New Roman" w:hAnsi="Times New Roman"/>
          <w:sz w:val="18"/>
          <w:szCs w:val="18"/>
          <w:color w:val="auto"/>
        </w:rPr>
        <w:t xml:space="preserve"> patients and centrosomal protein 290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-related LCA patients in the United States.</w:t>
      </w:r>
    </w:p>
    <w:p>
      <w:pPr>
        <w:spacing w:after="0" w:line="18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 xml:space="preserve">In February 2024, in continuation of the preliminary analyses update, we announced an update for 18 participants. The trial update was an extension of the positive preliminary data from September 2023. The positive trial update demonstrated that OCU400 continued to be generally safe and well-tolerated in subjects across different mutations and dose levels. 89% of participants demonstrated preservation or improvement in the treated eye either on BCVA or LLVA or MLMT scores from baseline. 78% of participants demonstrated preservation or improvement in the treated eyes in MLMT scores from baseline. 80% of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mutation subjects experienced either preservation or improvement in MLMT scores from baseline.</w:t>
      </w:r>
    </w:p>
    <w:p>
      <w:pPr>
        <w:spacing w:after="0" w:line="21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In April 2024, the FDA cleared our IND amendment to initiate a Phase 3 trial of OCU400 for RP. OCU400 is the first gene therapy program to enter Phase 3 with a broad RP indication. This Phase 3 trial will enroll 150 subjects, distributed 1:1 into two separate arms (RHO: N=75, and Gene Agnostic: N=75). In each arm subjects will be further randomized into 2:1 ratio to treated and untreated control groups. Subjects will be followed for a year after dosing for primary end point analyses. In the Phase 1/2 OCU400 clinical trial a MLMT scale was the primary functional endpoint. For the Phase 3 OCU400 clinical trial, an updated mobility course will be used, Luminance Dependent Navigation Assessment ("LDNA") that includes a wider range of light intensity (0.04-500 Lux) and Lux Levels (0-9) with a uniform correlation between Lux level and Lux intensity.</w:t>
      </w:r>
    </w:p>
    <w:p>
      <w:pPr>
        <w:spacing w:after="0" w:line="21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In April 2024, the Committee for Medicinal Products for Human Use (CHMP) of the European Medicines Agency (EMA) reviewed the study design, endpoints and planned statistical analysis of the pivotal OCU400 Phase 3 liMeliGhT clinical trial for retinitis pigmentosa (RP) and provided acceptability of the U.S. based trial for submission of a Marketing Authorization Application (MAA). The EMA provided this opinion based on safety, tolerability, and efficacy of OCU400 demonstrated in the Phase 1/2 study.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begin dosing patients in Phase 3 trial for OCU400 for the treatment of RP in 2Q, 2024. Subsequently, we expect to expand OCU400 Phase 3 development in LCA patients in the second half of 2024 based on Phase 1/2 study results in LCA patients and subject to alignment with the FDA.</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developing OCU410 and OCU410ST, utilizing the nuclear receptor genes RAR-related orphan receptor A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the treatment of dAMD and Stargardt disease, respectively. OCU410 is a potential one-time, curative therapy with a single sub-retinal injection. OCU410 targets multiple pathways associated with AMD pathogenesis, in contrast to currently approved or under development products, and has potential to provide better safety and efficacy outcomes. OCU410ST has received ODD from the FDA for the treatment of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-associated retinopathies, including Stargardt disease.</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Currently both OCU410 and OCU410ST programs are in Phase 1/2 clinical development, actively enrolling patients. In November 2023, the first patient was dosed in the Phase 1/2 trial to assess the safety and efficacy of OCU410ST for Stargardt disease. In February 2024, we announced dosing was completed in the first cohort of Phase 1/2 study. Phase 1 is a multicenter, open-label, dose ranging study. Phase 2 is a randomized, outcome accessor-blinded, dose-expansion study in which adult and pediatric subjects will be randomized in a 1:1:1 ratio to either one of two OCU410ST dose groups or to an untreated control group. In April 2024, we announced that the Data Safety and Monitoring Board ("DSMB") approved to proceed dosing with the medium dose of OCU410ST in the dose-escalation phase of the study. Three patients with Stargardt disease have been dosed in the Phase 1/2 trial to date. An additional three patients will be dosed with the medium dose in the second cohort and three patients with the high dose in the third cohort in the dose-escalation phase.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first patient was dosed in the Phase 1/2 trial to assess the safety and efficacy of OCU410 for GA secondary to dAMD. In March 2024, we announced dosing was completed in the first cohort of Phase 1/2 study. Phase 1 is a multicenter, open-label, dose-ranging study. Phase 2 is a randomized expansion phase in which subjects will be randomized in a 1:1:1 ratio to either one of two OCU410 dose groups or to an untreated control group. In April 2024, we announced that the Data Safety and Monitoring Board ("DSMB") approved to proceed dosing with the medium dose of OCU410 in the dose-escalation phase of the study. Three patients with GA have been dosed in the Phase 1/2 trial to date. An additional three patients will be dosed with the medium dose in the second cohort and three patients with the high dose in the third cohort in the dose-escalation phase.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Biologic Therapy for Retinal Diseases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developing OCU200, which is a novel fusion protein containing parts of human transferrin and tumstatin. OCU200 is designed to treat DME, DR, and Wet AMD. We have completed the technology transfer of manufacturing processes to our contract development and manufacturing organization ("CDMO") and have produced trial materials to initiate a Phase 1 trial. 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April 2023, the FDA placed our IND application to initiate a Phase 1 trial targeting DME on clinical hold, as part of the FDA's request for additional information related to Chemistry Manufacturing and Controls ("CMC"). We continue to work with the FDA to address comments to lift the clinical hold.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Regenerative Medicine Cell Therapy Platform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NeoCart is a Phase 3-ready, regenerative medicine cell therapy technology that combines breakthroughs in bioengineering and cell processing to enhance the autologous cartilage repair process. NeoCart is a three-dimensional tissue-engineered disc of new cartilage that is manufactured by growing the patient's own chondrocytes, the cells responsible for maintaining cartilage health. Current surgical and nonsurgical treatment options are limited in their efficacy and durability. In prior clinical studies, Phase 2 and Phase 3, NeoCart has shown potential to accelerate healing, reduce pain, and provide regenerative native-like cartilage strength with durable benefits post transplantation. NeoCart was shown to be generally well-tolerated and demonstrated greater clinical efficacy than microfracture surgery at two years after treatment. Based on this clinical benefit, the FDA granted a RMAT designation to NeoCart for the repair of full-thickness lesions of knee cartilage injuries in adults. Additionally, we received concurrence from the FDA on the confirmatory Phase 3 trial design where chondroplasty will be used as a control group. We have completed renovating an existing facility into a current Good Manufacturing Practice ("GMP") facility in accordance with the FDA's regulations in support of NeoCart manufacturing for personalized Phase 3 trial material. We intend to initiate the Phase 3 trial in the second half of 2024, contingent on adequate availability of funding.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Inhaled Mucosal Vaccine Platform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party to an exclusive license agreement (as amended, "WU License Agreement") with The Washington University in St. Louis ("Washington University"), pursuant to which we licensed the rights to develop, manufacture, and commercialize an inhaled mucosal COVID-19 vaccine for the prevention of COVID-19 in the United States, Europe, Japan, South Korea, Australia, China, and Hong Kong (the "Mucosal Vaccine Territory"). In addition, we internally developed technology related to the flu and COVID-19's vaccine design and filed intellectual property. We are developing a next-generation, inhalation-based mucosal vaccine platform based on a novel ChAd vector, which includes OCU500, a COVID-19 vaccine; OCU510, a seasonal quadrivalent flu vaccine; and OCU520, a combination quadrivalent seasonal flu and COVID-19 vaccine. Our inhaled mucosal vaccine platform is driven by our conviction to serve a public health concern, which requires the endorsement and support of government funding in order to develop and ultimately commercialize our vaccine candidates. As these vaccine candidates are being developed to be administered via inhalation, we believe they have the potential to generate rapid local immune response in the upper airways and lungs, where viruses enter and infect the body. We believe this novel delivery route method may help reduce or prevent infection and transmission as well as provide protection against new virus variants. In October 2023, OCU500 was selected by the NIAID Project NextGen for inclusion in clinical trials. OCU500 will be tested via two different mucosal routes, inhalation into the lungs and as a nasal spray. The clinical trials are expected to begin mid-2024. We are continuing discussions with relevant government agencies regarding developmental funding for our OCU510 and OCU520 platforms.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developing novel solutions to medical challenges and approaching healthcare innovation with purpose and agility to deliver new options for people facing serious diseases and conditions. We believe our product candidates have the potential to treat blindness diseases, treat serious conditions such as articular cartilage lesions, and reduce transmission or prevent respiratory diseases such as the flu and COVID-19. Key elements of the strategy we employ to accomplish this mission include:</w:t>
      </w:r>
    </w:p>
    <w:p>
      <w:pPr>
        <w:spacing w:after="0" w:line="6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Continuing to advance our modifier gene therapy platform into and through clinical development.</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developing our modifier gene therapy platform, inclusive of OCU400, OCU410, and OCU410ST, for the treatment of multiple IRDs, including RP, LCA, Stargardt disease and multifactorial diseases such as dAMD and GA. We intend to begin dosing patients in Phase 3 trial for OCU400 for the treatment of RP in 2Q, 2024. We expect to expand OCU400 Phase 3 development in LCA patients in the second half of 2024 based on Phase 1/2 study results in LCA patients and alignment with the FDA. We also currently have both OCU410 and OCU410ST programs in Phase 1/2 clinical development, actively enrolling patients.</w:t>
      </w:r>
    </w:p>
    <w:p>
      <w:pPr>
        <w:spacing w:after="0" w:line="71" w:lineRule="exact"/>
        <w:rPr>
          <w:rFonts w:ascii="Times New Roman" w:cs="Times New Roman" w:eastAsia="Times New Roman" w:hAnsi="Times New Roman"/>
          <w:sz w:val="18"/>
          <w:szCs w:val="18"/>
          <w:b w:val="1"/>
          <w:bCs w:val="1"/>
          <w:i w:val="1"/>
          <w:iCs w:val="1"/>
          <w:color w:val="auto"/>
        </w:rPr>
      </w:pPr>
    </w:p>
    <w:p>
      <w:pPr>
        <w:ind w:left="660" w:hanging="328"/>
        <w:spacing w:after="0" w:line="286"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Expanding and exploring partnerships with current and future key collaborators and commercial partners to maximize patient access, global reach, and the value of our product candidates.</w:t>
      </w:r>
    </w:p>
    <w:p>
      <w:pPr>
        <w:spacing w:after="0" w:line="50"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intend to explore strategic licensing, acquisition, and collaboration opportunities with qualified partners to maximize the potential benefit of our product candidates for patients globally and to expand our product candidate pipeline to support our future growth.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Obtaining government funding to advance our vaccine programs towards commercialization.</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developing a next-generation, inhalation-based mucosal vaccine platform based on a novel ChAd vector, which includes OCU500, a COVID-19 vaccine; OCU510, a seasonal quadrivalent flu vaccine; and OCU520, a combination quadrivalent seasonal flu and COVID-19 vaccine. In October 2023, OCU500 was selected by the NIAID Project NextGen for inclusion in clinical trials. We are continuing discussions with relevant government agencies regarding developmental funding for our OCU510 and OCU520 platforms.</w:t>
      </w:r>
    </w:p>
    <w:p>
      <w:pPr>
        <w:spacing w:after="0" w:line="67" w:lineRule="exact"/>
        <w:rPr>
          <w:rFonts w:ascii="Times New Roman" w:cs="Times New Roman" w:eastAsia="Times New Roman" w:hAnsi="Times New Roman"/>
          <w:sz w:val="18"/>
          <w:szCs w:val="18"/>
          <w:b w:val="1"/>
          <w:bCs w:val="1"/>
          <w:i w:val="1"/>
          <w:iCs w:val="1"/>
          <w:color w:val="auto"/>
        </w:rPr>
      </w:pPr>
    </w:p>
    <w:p>
      <w:pPr>
        <w:ind w:left="660" w:right="20" w:hanging="328"/>
        <w:spacing w:after="0" w:line="286" w:lineRule="auto"/>
        <w:tabs>
          <w:tab w:leader="none" w:pos="65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Advancing the clinical development of our regenerative medicine platform towards market authorization and developing in-house manufacturing capability.</w:t>
      </w:r>
    </w:p>
    <w:p>
      <w:pPr>
        <w:spacing w:after="0" w:line="50" w:lineRule="exact"/>
        <w:rPr>
          <w:rFonts w:ascii="Times New Roman" w:cs="Times New Roman" w:eastAsia="Times New Roman" w:hAnsi="Times New Roman"/>
          <w:sz w:val="18"/>
          <w:szCs w:val="18"/>
          <w:b w:val="1"/>
          <w:bCs w:val="1"/>
          <w:i w:val="1"/>
          <w:iCs w:val="1"/>
          <w:color w:val="auto"/>
        </w:rPr>
      </w:pPr>
    </w:p>
    <w:p>
      <w:pPr>
        <w:jc w:val="both"/>
        <w:ind w:left="6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developing NeoCart, our regenerative medicine platform technology for the repair of knee cartilage injuries in adults. We have received concurrence from the FDA on the confirmatory Phase 3 clinical trial design. We have completed renovating an existing facility into a current GMP facility in accordance with the FDA's regulations in support of NeoCart manufacturing for Phase 3 clinical trial material. We intend to initiate the Phase 3 trial in the second half of 2024, contingent on adequate availability of funding.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competitive strengths include:</w:t>
      </w:r>
    </w:p>
    <w:p>
      <w:pPr>
        <w:spacing w:after="0" w:line="16" w:lineRule="exact"/>
        <w:rPr>
          <w:sz w:val="20"/>
          <w:szCs w:val="20"/>
          <w:color w:val="auto"/>
        </w:rPr>
      </w:pPr>
    </w:p>
    <w:p>
      <w:pPr>
        <w:ind w:left="660" w:right="60" w:hanging="328"/>
        <w:spacing w:after="0" w:line="224" w:lineRule="auto"/>
        <w:tabs>
          <w:tab w:leader="none" w:pos="653" w:val="left"/>
        </w:tabs>
        <w:numPr>
          <w:ilvl w:val="0"/>
          <w:numId w:val="7"/>
        </w:numPr>
        <w:rPr>
          <w:rFonts w:ascii="Calibri" w:cs="Calibri" w:eastAsia="Calibri" w:hAnsi="Calibri"/>
          <w:sz w:val="20"/>
          <w:szCs w:val="20"/>
          <w:color w:val="auto"/>
        </w:rPr>
      </w:pPr>
      <w:r>
        <w:rPr>
          <w:rFonts w:ascii="Times New Roman" w:cs="Times New Roman" w:eastAsia="Times New Roman" w:hAnsi="Times New Roman"/>
          <w:sz w:val="18"/>
          <w:szCs w:val="18"/>
          <w:b w:val="1"/>
          <w:bCs w:val="1"/>
          <w:i w:val="1"/>
          <w:iCs w:val="1"/>
          <w:color w:val="auto"/>
        </w:rPr>
        <w:t xml:space="preserve">Platform Technologies. </w:t>
      </w:r>
      <w:r>
        <w:rPr>
          <w:rFonts w:ascii="Times New Roman" w:cs="Times New Roman" w:eastAsia="Times New Roman" w:hAnsi="Times New Roman"/>
          <w:sz w:val="18"/>
          <w:szCs w:val="18"/>
          <w:color w:val="auto"/>
        </w:rPr>
        <w:t>Our cutting-edge modifier gene therapy platform provides a competitive advantage over traditional approaches for gene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therapy, such as gene augmentation, replacement or editing. This platform technology utilizes NHR genes, master regulators inside cells, which promotes homeostasis – a balanced physiological state within cells. Our OCU400 modifier gene therapy product candidate can address &gt;100 gene mutations associated with RP and LCA diseases, in contrast, the traditional approach can address only one gene mutation at a time with single product. This technology has versatility in addressing various diseases of retina with potential to expansion into other disease areas. Our OCU410 modifier gene therapy product candidate has potential to treat both genetic (Stargardt disease) as well as complex multifactorial disease (AMD). Our 3D tissue engineering platform technology utilizes state-of-the-art bioreactor which can be used to produce native cartilage-like tissues for implantation. Our first product candidate based on this platform technology, NeoCart, is an autologous cartilage tissue–engineered implant designed for use in repair of articular cartilage injuries in the knee. In contrast to approved cell-matrix based product, NeoCart showed rapid healing and durable benefit in clinical studies. Our inhaled vaccine platform technology utilizes combination of ChAd vector technology and inhalation delivery technology, which can be utilized for vaccine development for various respiratory diseases. The OCU500 vaccine series is based on a novel ChAd platform designed to reduce transmission and protect against new variants with long-term durability. The inhaled method offers the potential for broad, durable protection from severe disease and reduction in transmission.</w:t>
      </w:r>
    </w:p>
    <w:p>
      <w:pPr>
        <w:spacing w:after="0" w:line="75" w:lineRule="exact"/>
        <w:rPr>
          <w:rFonts w:ascii="Calibri" w:cs="Calibri" w:eastAsia="Calibri" w:hAnsi="Calibri"/>
          <w:sz w:val="20"/>
          <w:szCs w:val="20"/>
          <w:color w:val="auto"/>
        </w:rPr>
      </w:pPr>
    </w:p>
    <w:p>
      <w:pPr>
        <w:jc w:val="both"/>
        <w:ind w:left="660" w:hanging="328"/>
        <w:spacing w:after="0" w:line="255" w:lineRule="auto"/>
        <w:tabs>
          <w:tab w:leader="none" w:pos="65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Experienced Management Team and Esteemed Scientific and Business Advisory Boards. </w:t>
      </w:r>
      <w:r>
        <w:rPr>
          <w:rFonts w:ascii="Times New Roman" w:cs="Times New Roman" w:eastAsia="Times New Roman" w:hAnsi="Times New Roman"/>
          <w:sz w:val="18"/>
          <w:szCs w:val="18"/>
          <w:color w:val="auto"/>
        </w:rPr>
        <w:t>Our management team and key advisors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experience with a proven track record of success in developing, launching, and managing the life cycle of biopharmaceuticals and vaccines at leading pharmaceutical and biotechnology companies. Our retina and vaccine scientific advisory boards are composed of leading academic and industry experts with extensive experience in the ocular and infectious disease fields. Our business advisory board members have been selected based on their extensive professional backgrounds and proven track record of creating partnerships among the public and private sector. We believe that the experience of our management team, our scientific advisory board members, business advisory board, and our broad network of relationships with leaders within the industry and the medical community provides us with insight into the identification of product candidate opportunities as well as supports us in advancing the development and commercialization of our product candidates.</w:t>
      </w:r>
    </w:p>
    <w:p>
      <w:pPr>
        <w:spacing w:after="0" w:line="76"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5" w:lineRule="auto"/>
        <w:tabs>
          <w:tab w:leader="none" w:pos="65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Key Partnerships and Internal Capabilities. </w:t>
      </w:r>
      <w:r>
        <w:rPr>
          <w:rFonts w:ascii="Times New Roman" w:cs="Times New Roman" w:eastAsia="Times New Roman" w:hAnsi="Times New Roman"/>
          <w:sz w:val="18"/>
          <w:szCs w:val="18"/>
          <w:color w:val="auto"/>
        </w:rPr>
        <w:t>We have established a partnership with CanSino Biologics, Inc. ("CanSinoBIO") for our modifier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 therapy platform. CanSinoBIO has state-of-the-art facilities and proven expertise in the gene therapy field, which is critical to advancing our gene therapy product candidates into and through clinical trials as well as accelerating development timelines, reducing our associated costs, and increasing the reliability of our product candidate manufacturing. We have a state-of-the-art R&amp;D center to support innovation and development of our product pipeline through commercialization. Ocugen's recently renovated GMP facility is designed to support manufacturing of cell and gene therapy-based products for clinical development as well as commercial launch. Ocugen's R&amp;D, clinical, regulatory, quality and manufacturing teams consist of experienced, highly qualified researchers and industry professionals from top institutional and leading companies, which help drive pipeline development with greater efficiency.</w:t>
      </w:r>
    </w:p>
    <w:p>
      <w:pPr>
        <w:spacing w:after="0" w:line="117" w:lineRule="exact"/>
        <w:rPr>
          <w:rFonts w:ascii="Times New Roman" w:cs="Times New Roman" w:eastAsia="Times New Roman" w:hAnsi="Times New Roman"/>
          <w:sz w:val="18"/>
          <w:szCs w:val="18"/>
          <w:b w:val="1"/>
          <w:bCs w:val="1"/>
          <w:color w:val="auto"/>
        </w:rPr>
      </w:pPr>
    </w:p>
    <w:p>
      <w:pPr>
        <w:ind w:left="660" w:right="20" w:hanging="328"/>
        <w:spacing w:after="0" w:line="237" w:lineRule="auto"/>
        <w:tabs>
          <w:tab w:leader="none" w:pos="655" w:val="left"/>
        </w:tabs>
        <w:numPr>
          <w:ilvl w:val="0"/>
          <w:numId w:val="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b w:val="1"/>
          <w:bCs w:val="1"/>
          <w:i w:val="1"/>
          <w:iCs w:val="1"/>
          <w:color w:val="auto"/>
        </w:rPr>
        <w:t xml:space="preserve">Product Designations. </w:t>
      </w:r>
      <w:r>
        <w:rPr>
          <w:rFonts w:ascii="Times New Roman" w:cs="Times New Roman" w:eastAsia="Times New Roman" w:hAnsi="Times New Roman"/>
          <w:sz w:val="18"/>
          <w:szCs w:val="18"/>
          <w:color w:val="auto"/>
        </w:rPr>
        <w:t>OCU400 has received ODD from the FDA for RP and LCA as well as been granted a RMAT designation from the FDA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for the treatment of RP associated with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mutations. OCU400 has also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received OMPD from the EC, based on the recommendation of the EMA, for RP and LCA. These designations demonstrate the potential broad-spectrum application of OCU400, through its use of NHRs, to treat the more than 125 genes associated with RP and LCA with one product rather than developing individual treatments for each gene mutation. OCU410ST has received ODD from the FDA for the treatment of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-associated retinopathies, including Stargardt disease. NeoCart, our regenerative medicine cell therapy technology, was granted RMAT designation from the FDA for the repair of knee cartilage injuries in adults. The RMAT designation was created to expedite the development and review of regenerative medicine therapies intended to treat, modify, reverse, or cure a serious condition.</w:t>
      </w:r>
    </w:p>
    <w:p>
      <w:pPr>
        <w:spacing w:after="0" w:line="75" w:lineRule="exact"/>
        <w:rPr>
          <w:sz w:val="20"/>
          <w:szCs w:val="20"/>
          <w:color w:val="auto"/>
        </w:rPr>
      </w:pPr>
    </w:p>
    <w:p>
      <w:pPr>
        <w:jc w:val="both"/>
        <w:ind w:left="660" w:hanging="328"/>
        <w:spacing w:after="0" w:line="254" w:lineRule="auto"/>
        <w:tabs>
          <w:tab w:leader="none" w:pos="65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Licensing and Development Arrangements and Intellectual Property Portfolio. </w:t>
      </w:r>
      <w:r>
        <w:rPr>
          <w:rFonts w:ascii="Times New Roman" w:cs="Times New Roman" w:eastAsia="Times New Roman" w:hAnsi="Times New Roman"/>
          <w:sz w:val="18"/>
          <w:szCs w:val="18"/>
          <w:color w:val="auto"/>
        </w:rPr>
        <w:t>We have licensing and development arrangements with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academic institutions, and medical institutions that cover our product candidates. These licensing and development arrangements include the licensing agreement with The Schepens Eye Research Institute, Inc. ("SERI"), an affiliate of Harvard Medical School, through which we acquired the technology used in our modifier gene therapy platform as well as access to technologies for other NHR genes, the license agreement with Purpose Co., Ltd. ("Purpose") relating to NeoCart, the WU License Agreement with Washington University with respect to inhaled mucosal COVID-19 vaccines in the Mucosal Vaccine Territory, and the license agreement with the University of Colorado ("CU") pursuant to which we acquired rights to the transferrin-tumstatin fusion protein technology used in our OCU200 product candidate. As of April 10, 2024, our global intellectual property portfolio contains 87 patents and 27 pending patent applications related to composition of matter, pharmaceutical compositions, methods of use for our product candidates, and other proprietary technology including those under our licensing and development arrangements. We will leverage these domestic and global partnerships and our intellectual property portfolio to advance our near-and long-term product pipeline opportunities.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 pipeline is summarized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154305</wp:posOffset>
            </wp:positionV>
            <wp:extent cx="6249035" cy="3514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49035"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MODIFIER GENE THERAPY PLATFORM AND GENE THERAPY PRODUCT CANDIDATES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developing our modifier gene therapy platform, inclusive of OCU400, OCU410, and OCU410ST for the treatment of multiple IRDs, such as RP, LCA, Stargardt disease and multifactorial diseases such as dAMD and GA. Our modifier gene therapy platform is a cutting-edge technology licensed from SERI, an affiliate of Harvard Medical School, and involves the targeted delivery and expression of one or more NHRs in the disease tissues and is designed to introduce a functional gene to modify the expression of multiple genes and gene-networks, which potentially enables it to address multiple retinal diseases with one product.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RP and LCA and Current Treatment Options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IRDs are caused by genetic mutations that are passed down within families and lead to progressive disease, severe visual impairment, and blindness. They are a diverse disease class with large phenotypic and genetic heterogeneity. IRDs are a common cause of irreversible blindness due to retinal cell degeneration. Treating these conditions has been a significant challenge due to the sheer volume of potential therapeutic gene targets. Gene replacement therapy is a promising approach to provide sustained restoration of normal retinal function for a mutated gene, but such therapies can only address one gene at a time, limiting their potential therapeutic use. Developing a custom gene therapy for each of the more than 125 mutated genes linked to RP and LCA would not only be expensive but also may not be possible due to size, class, or localization that will impact delivery of the gene. Not all genes and disease expressions are amenable to gene therapy. For example, the genetic mutations of approximately 40% of RP patients remain unknown with few or no known therapeutic options available. Modifier gene therapy to ameliorate multiple forms of RP and LCA without requiring knowledge of the mutated gene, may provide a potentially robust and feasible treatment for RP and LCA.</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RP and LCA are the most common IRDs involving photoreceptors and the retinal pigment epithelium ("RPE"). RP is a group of rare, genetic disorders that involve a breakdown and loss of cells in the retina. RP affects approximately 110,000 and 190,000 individuals in the United States and Europe, respectively. In RP, progressive retinal degeneration starts in the mid-periphery and advances toward the macula and the fovea. The fovea is the part of the retina that is responsible for sharp central vision. Common symptoms of RP include difficulty seeing in poor lighting or in the dark, loss of central vision or side (peripheral) vision, and difficulty reading print and deciphering detailed images. RP is associated with over 100 mutated genes that affect 1.5 million individuals worldwide. RP is heterogeneous and varies greatly in age of onset, rate of progression, and even genetic etiology, yet all of the mutations lead to a common pathology of photoreceptor cell degeneration.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currently no approved treatment that slows or stops the progression of multiple forms of RP. Proposed treatments for RP include gene-replacement therapy, retinal implant devices, retinal transplantation, stem cells, vitamin therapy, and other pharmacological treatments. While gene-replacement therapies may provide a new functional gene, they do not necessarily eliminate the underlying genetic defect, which may still cause stress and toxic effects. Therefore, the development of gene specific replacement therapy is highly challenging, especially when multiple and unknown genes are involved.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Similar to RP, minimal treatment options are available for LCA, which is a group of IRDs characterized by severe impairment of vision or blindness at birth. LCA affects approximately 15,000 and 18,000 individuals in the United States and Europe, respectively. It is an autosomal recessive pattern of inheritance, wherein both parents, called carriers, have one mutated copy of the gene and one normal gene. They are unaffected carriers of LCA. However, each of their children has a 25% chance of inheriting the two LCA gene copies (one from each parent) needed to cause the disorder. LCA is caused by a degeneration and/or dysfunction of photoreceptor rod cells and cone cells in the eye. This affects the processing of electrical signals. The electrical signals travel from the retina through the optic nerve to the brain. The brain then turns the signals into images that are seen. The less electrical activity there is, the less sight one will have. Electroretinography is used to measure the electrical signals in the retina. Common symptoms of LCA include a child habitually pressing their eyes, formations of cataracts, thinning and gradual decline of the cornea which bulges outward into a cone shape. In some cases, the eyes of individuals with LCA can appear sunken. LCA is associated with over 25 mutated genes and affects approximately 180,000 individuals worldwide. Luxturna, developed by Spark Therapeutics, Inc., has been approved by the FDA to treat IRDs caused by retinoid isomerohydrolase ("</w:t>
      </w:r>
      <w:r>
        <w:rPr>
          <w:rFonts w:ascii="Times New Roman" w:cs="Times New Roman" w:eastAsia="Times New Roman" w:hAnsi="Times New Roman"/>
          <w:sz w:val="18"/>
          <w:szCs w:val="18"/>
          <w:i w:val="1"/>
          <w:iCs w:val="1"/>
          <w:color w:val="auto"/>
        </w:rPr>
        <w:t>RPE65</w:t>
      </w:r>
      <w:r>
        <w:rPr>
          <w:rFonts w:ascii="Times New Roman" w:cs="Times New Roman" w:eastAsia="Times New Roman" w:hAnsi="Times New Roman"/>
          <w:sz w:val="18"/>
          <w:szCs w:val="18"/>
          <w:color w:val="auto"/>
        </w:rPr>
        <w:t xml:space="preserve">") gene mutations. The </w:t>
      </w:r>
      <w:r>
        <w:rPr>
          <w:rFonts w:ascii="Times New Roman" w:cs="Times New Roman" w:eastAsia="Times New Roman" w:hAnsi="Times New Roman"/>
          <w:sz w:val="18"/>
          <w:szCs w:val="18"/>
          <w:i w:val="1"/>
          <w:iCs w:val="1"/>
          <w:color w:val="auto"/>
        </w:rPr>
        <w:t>RPE65</w:t>
      </w:r>
      <w:r>
        <w:rPr>
          <w:rFonts w:ascii="Times New Roman" w:cs="Times New Roman" w:eastAsia="Times New Roman" w:hAnsi="Times New Roman"/>
          <w:sz w:val="18"/>
          <w:szCs w:val="18"/>
          <w:color w:val="auto"/>
        </w:rPr>
        <w:t xml:space="preserve"> gene represents just one of more than 125 mutated genes linked to RP and LCA. No treatment options have been approved by the FDA for RP and LCA caused by mutations in other RP and LCA causing genes.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OCU400 for IRDs</w:t>
      </w:r>
    </w:p>
    <w:p>
      <w:pPr>
        <w:spacing w:after="0" w:line="20"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8"/>
          <w:szCs w:val="18"/>
          <w:color w:val="auto"/>
        </w:rPr>
        <w:t xml:space="preserve">OCU400 is our first product candidate being developed with our modifier gene therapy platform. OCU400 has the potential to restore retinal integrity and function across a range of genetically diverse IRDs. OCU400 consists of a functional copy of the retina-specific NHR gene,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delivered to target cells in the retina using an AAV5 vector that has the potential to be used as a gene therapeutic not only for the treatment of retinal diseases associated with mutations in genes such as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PDE6ß</w:t>
      </w:r>
      <w:r>
        <w:rPr>
          <w:rFonts w:ascii="Times New Roman" w:cs="Times New Roman" w:eastAsia="Times New Roman" w:hAnsi="Times New Roman"/>
          <w:sz w:val="18"/>
          <w:szCs w:val="18"/>
          <w:color w:val="auto"/>
        </w:rPr>
        <w:t>, but also other gene mutations associated with IRDs, including RP and LCA. As a potent modifier gene, expression of</w:t>
      </w:r>
      <w:r>
        <w:rPr>
          <w:rFonts w:ascii="Times New Roman" w:cs="Times New Roman" w:eastAsia="Times New Roman" w:hAnsi="Times New Roman"/>
          <w:sz w:val="18"/>
          <w:szCs w:val="18"/>
          <w:i w:val="1"/>
          <w:iCs w:val="1"/>
          <w:color w:val="auto"/>
        </w:rPr>
        <w:t xml:space="preserve"> NR2E3 </w:t>
      </w:r>
      <w:r>
        <w:rPr>
          <w:rFonts w:ascii="Times New Roman" w:cs="Times New Roman" w:eastAsia="Times New Roman" w:hAnsi="Times New Roman"/>
          <w:sz w:val="18"/>
          <w:szCs w:val="18"/>
          <w:color w:val="auto"/>
        </w:rPr>
        <w:t>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 reset retinal cell homeostasis, metabolism, and visual cycle function (</w:t>
      </w:r>
      <w:r>
        <w:rPr>
          <w:rFonts w:ascii="Times New Roman" w:cs="Times New Roman" w:eastAsia="Times New Roman" w:hAnsi="Times New Roman"/>
          <w:sz w:val="18"/>
          <w:szCs w:val="18"/>
          <w:b w:val="1"/>
          <w:bCs w:val="1"/>
          <w:color w:val="auto"/>
        </w:rPr>
        <w:t>Figure 9</w:t>
      </w:r>
      <w:r>
        <w:rPr>
          <w:rFonts w:ascii="Times New Roman" w:cs="Times New Roman" w:eastAsia="Times New Roman" w:hAnsi="Times New Roman"/>
          <w:sz w:val="18"/>
          <w:szCs w:val="18"/>
          <w:color w:val="auto"/>
        </w:rPr>
        <w:t xml:space="preserve">). OCU400 has received ODD for RP and LCA, a RMAT designation to OCU400 for the treatment of RP associated with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and rhodopsin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and OMPD from the EC, based on the recommendation of the EMA, for RP and LCA. We believe these broad ODD, RMAT, and OMPD designations demonstrate that OCU400 has the potential to be a broad-spectrum therapeutic to treat multiple IRDs. These ODD, RMAT, and OMPD designations represent gene-agnostic broad coverage for RP and LCA and are not mutation-specific designations.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9: Mechanism of our modifier gene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156845</wp:posOffset>
            </wp:positionV>
            <wp:extent cx="5863590" cy="13798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3590"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Figure 9 </w:t>
      </w:r>
      <w:r>
        <w:rPr>
          <w:rFonts w:ascii="Times New Roman" w:cs="Times New Roman" w:eastAsia="Times New Roman" w:hAnsi="Times New Roman"/>
          <w:sz w:val="18"/>
          <w:szCs w:val="18"/>
          <w:i w:val="1"/>
          <w:iCs w:val="1"/>
          <w:color w:val="auto"/>
        </w:rPr>
        <w:t xml:space="preserve">demonstrates the mechanism of our modifier gene therapy. In single-gene replacement therapies such as gene augmentation, only the non-functional gene is targeted. and accordingly, this therapy cannot improve a multitude of disease-causing genetic defects. In our modifier gene therapy platform, a functional gene of the retina-specific NHR gene, </w:t>
      </w:r>
      <w:r>
        <w:rPr>
          <w:rFonts w:ascii="Times New Roman" w:cs="Times New Roman" w:eastAsia="Times New Roman" w:hAnsi="Times New Roman"/>
          <w:sz w:val="18"/>
          <w:szCs w:val="18"/>
          <w:color w:val="auto"/>
        </w:rPr>
        <w:t>NR2E3</w:t>
      </w:r>
      <w:r>
        <w:rPr>
          <w:rFonts w:ascii="Times New Roman" w:cs="Times New Roman" w:eastAsia="Times New Roman" w:hAnsi="Times New Roman"/>
          <w:sz w:val="18"/>
          <w:szCs w:val="18"/>
          <w:i w:val="1"/>
          <w:iCs w:val="1"/>
          <w:color w:val="auto"/>
        </w:rPr>
        <w:t>, is introduced to modify the expression of many genes and gene networks and restore homeostasis.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completed dosing of RP patients and four LCA patients including a pediatric patient in the Phase 1/2 clinical trial for OCU400. We received FDA clearance to initiate a Phase 3 trial for OCU400 for the treatment of RP. We intend to begin patient dosing in Phase 3 study in 2Q, 2024. We expect to expand OCU400 Phase 3 development in LCA patients in the second half of 2024 based on Phase 1/2 study results in LCA patients and alignment with the FDA.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Dry AMD and Stargardt Disease and Current Treatment Options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Dry AMD is attributed to the thinning of the macula of the retina, which leads to impairment and loss of central vision. The macula is the part of the retina responsible for clear vision in one's direct line of sight. dAMD is characterized by the thickening and loss of normal architecture within the Bruch's membrane, lipofuscin accumulation in the RPE, and drusen formation beneath the RPE in the Bruch's membrane. These deposits consist of complement components, other inflammatory molecules, lipids, lipoproteins B and E, and glycoproteins. Common risk factors for dAMD include genetics, smoking, nutrition and vitamin deficiency, and heart disease. dAMD, which affects over 266 million individuals worldwide, involves the slow deterioration of the retina with submacular drusen (small white or yellow dots on the retina), atrophy, loss of macular function, and central vision impairment. Common symptoms of dAMD include visual distortions, reduced central vision in one or both eyes, increased difficulty adapting to low levels of light, and a well-defined blind spot in one's field of vision. Geographic Atrophy (GA) is an advanced form of dAMD that affects approximately 1 million people in the U.S. and 8 million people worldwide. GA involves several biological factors and pathways, including lipid metabolism, oxidative stress, inflammation, and activation of the complement system. The currently approved treatments for GA only focus on the complement system with limited treatment benefits.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Similarly, Stargardt disease is a rare genetic eye disorder that causes retinal degeneration and ultimately leads to loss of central vision. It is the most common form of inherited macular degeneration, affecting approximately 1 million individuals worldwide. Stargardt disease happens when lipofuscin, a fatty yellow pigment, accumulates on the macula, which leads to the degeneration of the photoreceptor cells in the macula and ultimately leads to progressive central vision loss. The photoreceptor cells convert light into electrical signals, which are then sent to the brain where they are processed to create the images we see. Stargardt disease is usually caused by mutations in the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 xml:space="preserve"> gene and is inherited in an autosomal recessive manner. This gene affects how one's body uses vitamin A. The body uses vitamin A to make cells in the retina. Common symptoms of Stargardt disease include gray, black, or hazy spots in one's central vision, sensitivity to light, increased time for eyes to adjust between light and dark places, color blindness, and gradual central vision loss in both eyes. Currently no treatment options exist to address dAMD or reverse or slow the progression of Stargardt disease and accordingly, there remains a significant unmet medical need for these ocular diseases.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OCU410 and OCU410ST for the Treatment of Dry AMD and Stargardt Disease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developing OCU410 and OCU410ST for the treatment of dAMD and Stargardt disease, respectively. OCU410 and OCU410ST utilize an AAV delivery platform for the retinal delivery of the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gene.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regulated gene networks are relevant in the treatment of dAMD and Stargardt disease. </w:t>
      </w:r>
      <w:r>
        <w:rPr>
          <w:rFonts w:ascii="Times New Roman" w:cs="Times New Roman" w:eastAsia="Times New Roman" w:hAnsi="Times New Roman"/>
          <w:sz w:val="18"/>
          <w:szCs w:val="18"/>
          <w:i w:val="1"/>
          <w:iCs w:val="1"/>
          <w:color w:val="auto"/>
        </w:rPr>
        <w:t xml:space="preserve">RORA </w:t>
      </w:r>
      <w:r>
        <w:rPr>
          <w:rFonts w:ascii="Times New Roman" w:cs="Times New Roman" w:eastAsia="Times New Roman" w:hAnsi="Times New Roman"/>
          <w:sz w:val="18"/>
          <w:szCs w:val="18"/>
          <w:color w:val="auto"/>
        </w:rPr>
        <w:t>reduces oxidative stress, limits lipofuscin deposits, reduces chronic inflammation, regulates complement activation, and improves choroidal blood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flow. Gene variants of the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 xml:space="preserve"> gene are associated with both AMD and Stargardt disease. Stargardt disease is usually caused by mutations in the </w:t>
      </w:r>
      <w:r>
        <w:rPr>
          <w:rFonts w:ascii="Times New Roman" w:cs="Times New Roman" w:eastAsia="Times New Roman" w:hAnsi="Times New Roman"/>
          <w:sz w:val="18"/>
          <w:szCs w:val="18"/>
          <w:i w:val="1"/>
          <w:iCs w:val="1"/>
          <w:color w:val="auto"/>
        </w:rPr>
        <w:t xml:space="preserve">ABCA4 </w:t>
      </w:r>
      <w:r>
        <w:rPr>
          <w:rFonts w:ascii="Times New Roman" w:cs="Times New Roman" w:eastAsia="Times New Roman" w:hAnsi="Times New Roman"/>
          <w:sz w:val="18"/>
          <w:szCs w:val="18"/>
          <w:color w:val="auto"/>
        </w:rPr>
        <w:t>gene. This gene transports oxidized retinol compounds from photoreceptors to RPE cells for detoxification. In mice models,</w:t>
      </w:r>
      <w:r>
        <w:rPr>
          <w:rFonts w:ascii="Times New Roman" w:cs="Times New Roman" w:eastAsia="Times New Roman" w:hAnsi="Times New Roman"/>
          <w:sz w:val="18"/>
          <w:szCs w:val="18"/>
          <w:i w:val="1"/>
          <w:iCs w:val="1"/>
          <w:color w:val="auto"/>
        </w:rPr>
        <w:t xml:space="preserve"> ABCA4 -/- </w:t>
      </w:r>
      <w:r>
        <w:rPr>
          <w:rFonts w:ascii="Times New Roman" w:cs="Times New Roman" w:eastAsia="Times New Roman" w:hAnsi="Times New Roman"/>
          <w:sz w:val="18"/>
          <w:szCs w:val="18"/>
          <w:color w:val="auto"/>
        </w:rPr>
        <w:t>displayed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 levels of CD59. A cell-surface glycoprotein, CD59, prevents the formation of the complement membrane attack complex. We also currently have both OCU410 and OCU410ST programs in Phase 1/2 clinical development, actively enrolling patients. We completed dosing subjects in Cohort 1 (low dose group) for both of these programs. In April 2024, we announced that the DSMB approved to proceed dosing with the medium dose of OCU410 as well as OCU410ST in the dose-escalation phase of the study. No serious adverse events (SAEs) have been reported to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Modifier Gene Therapy Platform Based on the Use of NHRs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NHRs are intracellular receptors that regulate gene expression, acting as master regulator genes in the retina. NHRs play a vital role in regulating retinal cell development, maturation, metabolism, visual cycle function, survival, and maintaining the cellular and molecular homeostasis in retinal tissues. Our modifier gene therapy platform is designed to target NHRs to potentially provide therapeutic benefit to patients suffering from genetically diverse IRDs. The use of genetic modifiers represent a broadened means of potentially treating a variety of retinal degenerative diseases, as compared to single-gene replacement therapy. While single-gene replacement therapies have shown tremendous promise in rare retinal diseases, they are highly specific and cannot improve a multitude of disease-causing genetic defects. Our modifier gene therapy platform has the potential to restore retinal integrity and function across a range of genetically diverse IRDs and other degenerative retinal diseases providing us with significant potential long-term value.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modifier gene therapy platform encompasses the targeted delivery and expression of certain NHRs that are expressed naturally in retinal tissue. Preclinical studies have shown that NR2E3, a member of the NHR family, is a dual activator and repressor that, with other transcription factors, modulates cell fate and differentiation of rod and cone photoreceptor cells, specialized cells for detecting light, in the eye. Disease outcome is a result of a primary mutation as well as modifier alleles. NR2E3 is a master regulator of several key pathways in retinal development and function. NR2E3 potentially prevents and rescues degenerating retina by resetting the homeostatic state of key gene networks in the presence of a primary mutation.</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delivery of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in a mouse lacking a functional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gene restored the retina structure and function. We believe that NR2E3 may partially or fully rescue photoreceptors from degeneration in patients with IRDs and improve patients' vision. It was also demonstrated preclinically that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offers a protective allele in AMD where the loss of photoreceptor cells leads to blindness. NR2E3 regulates the expression of both Nuclear Receptor Subfamily 1 Group D Member 1 ("</w:t>
      </w:r>
      <w:r>
        <w:rPr>
          <w:rFonts w:ascii="Times New Roman" w:cs="Times New Roman" w:eastAsia="Times New Roman" w:hAnsi="Times New Roman"/>
          <w:sz w:val="18"/>
          <w:szCs w:val="18"/>
          <w:i w:val="1"/>
          <w:iCs w:val="1"/>
          <w:color w:val="auto"/>
        </w:rPr>
        <w:t>NR1D1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Thus, the nuclear receptors work in overlapping networks to modulate normal retinal development and function. These receptors impact gene expression of hundreds of genes and numerous networks and, as such, may be potent modifiers of retinal disease and degeneration.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OCU400 Phase 1/2 Clinical Study Results</w:t>
      </w:r>
    </w:p>
    <w:p>
      <w:pPr>
        <w:spacing w:after="0" w:line="24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 xml:space="preserve">In the Phase 1/2 OCU400-101 study, a total of 22 subjects aged 9 to 77 years, male and female, received OCU400 subretinal injection in 3 dose levels of up to 300 µL. All subjects had a confirmed molecular diagnosis of either a biallelic autosomal recessive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mutations, or autosomal dominant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mutation, or autosomal dominant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mutations or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 xml:space="preserve"> mutation. In February 2024, in continuation of the preliminary analyses update, we announced an update for 18 participants. The trial update was an extension of the positive preliminary data from September 2023. The positive trial update demonstrated that OCU400 continued to be generally safe and well-tolerated in subjects across different mutations and dose levels. 89% of participants demonstrated preservation or improvement in the treated eye either on BCVA or LLVA or MLMT scores from baseline. 78% of participants demonstrated preservation or improvement in the treated eyes in MLMT scores from baseline. 80% of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mutation subjects experienced either preservation or improvement in MLMT scores from baseline.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NOVEL BIOLOGIC PRODUCT CANDIDATE FOR RETINAL DISEASES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developing OCU200, which is a novel fusion protein containing parts of human transferrin and tumstatin. OCU200 is designed to treat DME, DR, and Wet AMD. We have completed the technology transfer of manufacturing processes to our contract development and manufacturing organization ("CDMO") and have produced trial materials to initiate a Phase 1 trial. In April 2023, the FDA placed our IND application to initiate a Phase 1 trial targeting DME on clinical hold, as part of the FDA's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request for additional information related to CMC. We have submitted a response to the FDA with additional information. We continue to work with the FDA to address comments to lift the clinical hold. The planned Phase 1 clinical study will assess the unilateral intravitreal administration of OCU200 alone or in combination with an approved anti-VEGF therapy in participants with DME. This is a multicenter, open-label, dose ranging study with three cohorts in the dose-escalation portion of the study and one cohort in the combination therapy portion of the study.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DR and DME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is a sight-threatening complication of diabetes arising from the over-accumulation of glucose, which can block blood vessels in the retina and cut off blood supply, leading to the damage of blood vessels in the retina. DR is classified into two subtypes: non-proliferative DR and proliferative DR. Non-proliferative DR is the early stage of DR wherein blood vessels are unable to grow, blood vessel walls weaken, and nerve fibers in the retina may swell. Proliferative DR is the advanced stage of DR in which damaged blood vessels close off, leading to the growth of new, abnormal blood vessels in the retina. This growth of new, abnormal blood vessels in the retina can lead to scar tissue, which can result in the detachment of the retina from the back of the eye.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Complications from DR could lead to DME. In DME, bulges can protrude from the blood vessel walls, leading to the leakage of fluid and blood into the retina. This leakage results in swelling, or "edema," in the macula, which is a part of the retina. DME may occur at any stage of DR but is more likely to occur as the disease progresses. DME is the most common reason for vision loss in patients with DR.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and DME are the most common vision-threatening diseases in patients with diabetes. Approximately 162 million individuals are affected with DR and approximately 21 million with DME worldwide. As the population of people experiencing diabetes increases, these statistics are expected to increase, due to poor disease management, lifestyle-related changes and the aging population. There are limited treatment options available for patients with DR and DME. Current first-line treatments for DR and DME include the use of anti-vascular endothelial growth factor ("VEGF") therapy and anti-inflammatory therapy, such as corticosteroids. These treatments do not work effectively in approximately 50% of patients with DME. There is a significant need to develop a novel, differentiated therapeutic to treat DR and DME.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current therapies target only one pathway associated with DR and DME, either angiogenesis (development of new blood vessels) with anti-VEGF therapy, such as Ranibizumab or Aflibercept, or inflammation in case of corticosteroid therapy, such as Dexamethasone or Fluocinolone. The development of a therapeutic which targets multiple causative pathways of DR and DME, such as angiogenesis, oxidation, and inflammation, would offer a potential treatment option for all patients. We believe that OCU200 possesses unique characteristics to target these pathways and has the potential to offer better treatment options for all patients with DR and DME.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Wet AMD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OCU200 also has the potential to represent a better treatment option for patients suffering from Wet AMD. Most AMD cases begin as dAMD and may progress towards the advanced "Wet" form. Wet AMD is caused by abnormal blood vessels in the retina that leak fluid or blood into the macula. The result can be irreversible damage to photoreceptor cells and rapid, severe vision loss, particularly in the center of the field of vision, causing significant functional impairment. If left untreated, neovascularization in Wet AMD patients typically results in significant vision loss and the formation of a scar under the macula. Wet AMD affects approximately 10-15% of patients with AMD but progresses more rapidly and is known to be responsible for approximately 90% of all AMD-related blindness.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AMD is a leading cause of blindness worldwide. The incidence of Wet AMD increases substantially with age, and it is expected that the number of cases of Wet AMD will increase with the growth of the elderly population. It has been estimated that approximately 296 million individuals worldwide have some form of AMD of which, approximately 30 million, or 10%, suffer from Wet AMD.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 FDA approved therapeutics for Wet AMD include intravitreal injection of either Ranibizumab or Aflibercept, which are anti-VEGF therapies. Though treatments have been effective in mitigating the disease symptoms, clinical studies suggest substantial limitations remain. For example, a significant percentage of people do not respond to therapy and experience continuous deterioration of their vision. Additionally, the repeated use of anti-VEGF therapy becomes less effective over time. Between 30-50% of people affected by Wet AMD continue to have fluid remain in the middle of the eye, also called the subretinal space, even after one to two years of treatment.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above limitations of these existing treatments, we believe that a substantial unmet medical need exists for the treatment of DR, DME, and Wet AMD.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OCU200 for the Treatment of DR, DME, and Wet AMD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OCU200 is a novel fusion protein containing parts of human transferrin and tumstatin, that are already present normally in retinal tissues. Patients affected by these diseases share common symptoms, such as blurriness in vision and continued vision loss through disease progression. The formation of fragile and leaky new abnormal blood vessels leads to fluid accumulation in and around the retina, causing vision damage.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OCU200 possesses unique features to efficiently target retina and choroid and inhibit vascular leakage and/or growth of new blood vessels. Tumstatin, which acts as an anti-angiogenic, anti-inflammatory, and anti-oxidative agent, is the active component of OCU200. It binds to integrin receptors, which play a crucial role in disease pathogenesis. Transferrin is expected to enhance the delivery of fused proteins across cellular barriers, including retinal barriers. OCU200 is designed to address the limitations of current therapies by targeting multiple mechanisms associated with ocular neovascularization and inflammation specifically focusing on non-responders to currently available treatment options.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proof-of-concept study involving different animal models demonstrated the therapeutic potential of OCU200 in the treatment of DR, DME, and Wet AMD. In an animal model for DME and DR (oxygen-induced retinopathy in mice), OCU200, at a significantly lower dose (10 micrograms per eye), was comparable to existing approved anti-VEGF therapy (Eylea, 20 micrograms per eye) in preventing disease manifestation and progression. Studies in animal models for Wet AMD (laser induced choroidal neovascularization in mice and rats) suggest that OCU200 may possess comparable or slightly better activity compared to anti-VEGF control groups in preventing the formation and growth of new leaky blood vessels and subsequently disease symptoms. We believe that OCU200's distinct mechanism of action by targeting the integrin pathway could potentially provide benefit to patients, particularly to those patients that do not respond to currently approved therapies.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NEOCART (AUTOLOGOUS CHONDROCYTE-DERIVED NEOCARTILAGE) CELL THERAPY PLATFORM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diversified our innovative pipeline in 2022 by introducing NeoCart (autologous chondrocyte-derived neocartilage), a Phase 3-ready, regenerative medicine cell therapy technology that combines breakthroughs in bioengineering and cell processing to enhance the autologous cartilage repair process. We believe NeoCart has the potential to accelerate healing and reduce pain by reconstructing a patient's previously damaged knee cartilage. In May 2022, the FDA granted an RMAT designation to NeoCart for the repair of full-thickness lesions of knee cartilage injuries in adults.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NeoCart was acquired in our reverse merger in 2019 with Histogenics Corporation ("Histogenics"). Prior to 2019, Phase 1 and Phase 2 clinical trials were conducted to demonstrate the safety and efficacy of NeoCart. These clinical trials reported a decrease in pain and improved function of the knee. Additionally, per the results of the Phase 2 clinical trial, more patients responded to NeoCart than microfracture surgery. No Serious Adverse Events ("SAEs") were reported. A Phase 3 clinical trial was conducted to demonstrate the safety and effectiveness of NeoCart as compared to microfracture surgery to treat cartilage defects in the knee. This clinical trial enrolled 249 subjects between the ages of 18 and 59. The Phase 3 clinical trial of NeoCart narrowly missed the primary endpoint of a statistically significant improvement in pain and function in a dual threshold responder analysis one year after the treatment as compared to microfracture surgery.</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have received concurrence from the FDA on the confirmatory Phase 3 clinical trial design. This study will be a randomized, controlled clinical trial designed to evaluate the efficacy and safety of NeoCart in comparison to the current standard of care, chondroplasty, in subjects with articular cartilage defects. We intend to initiate the Phase 3 trial in the second half of 2024, contingent on adequate availability of funding. Our Phase 3 clinical trial will use chondroplasty as the control instead of microfracture, which was used in the Phase 3 clinical trial conducted by Histogenics. Additionally, the Phase 3 clinical trial conducted by Histogenics used a responder analysis for the co-primary endpoint (as opposed to microfracture) that included an improvement of at least 12 points in outcome compared to baseline at one year on the knee injury and OA outcome score pain assessment test and an improvement of at least 20 points in outcome compared to baseline on the International Knee Documentation Committee subjective test. In contrast, our Phase 3 clinical trial will use a co-primary efficacy endpoint defined as the mean change from baseline (as opposed to chondroplasty) to two years for the patients' Knee Injury and Osteoarthritis Outcome Score Pain and Function (Activities of Daily Living) subscale scales. Additionally, the Phase 3 clinical trial conducted by Histogenics enrolled patients with a total lesion size of less than six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while our Phase 3 clinical trial will enroll patients with total lesion sizes between one to three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cartilage is a complex tissue which protects the various joints and bones in the human body. It acts as a shock absorber throughout the body withstanding significant pressure and allowing for joints to glide smoothly with minimal friction. Cartilage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damage can be caused by acute trauma, such as a bad fall or a sports-related injury, or by repetitive trauma, such as general wear over time. Unlike other tissues in the body, cartilage in the joints has no innate ability to repair itself, making any injury permanent. If left untreated, even a small defect can expand in size and progress to debilitating Osteoarthritis ("OA"), ultimately requiring a joint replacement procedure. Over 528 million individuals worldwide are diagnosed with OA. This number is expected to increase as the population of aging yet active individuals and the rates of obesity increase.</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believe the current therapies available to treat cartilage damage in the knee are suboptimal with varying outcomes due to variable cellular responses. Chondroplasty is often recommended in patients with small cartilage lesions (between one and three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This procedure is performed through small incisions on the sides of the knee with the aid of an arthroscope. During this procedure, the damaged cartilage is trimmed, and the remaining surface is smoothed. Microfracture surgery is a frequently used procedure for severe cartilage damage which yields varying outcomes from patient to patient. This surgery consists of the creation of tiny holes or "fractures" in the bone underneath the injured cartilage, leading to the formation of a blood clot in the affected area. The blood and bone marrow that form the blood clot contain stem cells, which are expected to grow into cartilage-building cells, as well as growth factors to support cell function and development of replacement cartilage matrix. Approximately 30% of patients that have undergone microfracture surgery continue to have pain and reduced knee function. Additionally, current therapies require extensive recovery time. They are often ineffective in the long term as they do not adequately address cartilage damage, which leads to additional corrective surgeries. Autologous culture chondrocytes on porcine collagen membrane (MACI) is used for the repair of symptomatic, single, or multiple full-thickness cartilage defects of the knee with or without bone involvement in adults less than 55 years of age. It is a three-by-five centimeter cellular sheet with a density of 500,000 cells per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other options for cartilage repair include osteochondral autograft transplantation ("OAT"), osteochondral allograft resurfacing ("OCA"), and autologous chondrocyte implantation ("ACI"). During OAT, damaged cartilage is removed and replaced with healthy cartilage from a non-weight-bearing area of the joint. OAT is recommended for small to medium sized lesions (between 1.5 and four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and is limited by the amount of donor tissue available, the need for open surgery, and donor site morbidity. OCA is a similar process to OAT except that the tissue is sourced from cadaveric donor bone and cartilage. OCA is recommended for large lesions (between four and 10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and can be performed in a single procedure but is limited by the availability of cadaveric tissue. ACI is a process where cartilage cells are harvested from a non-weight bearing part of the knee and are cultured in a laboratory. They are subsequently implanted into the injured area.</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 one million arthroscopies are performed annually as a procedure to diagnose and treat issues of the joint. Patients and physicians are in need of treatment options that offer more rapid and durable recovery compared to the current treatment options. The attributes of an optimal treatment for a damaged knee cartilage involve the reduction in pain, repair of the knee cartilage, rapid return to daily activities, durable response, and a non-opioid approach. We believe NeoCart would represent a better solution to treat cartilage damage in the knee as it has the potential to solve for the limitations of the current therapies and has the potential to provide improved efficacy, long-term patient benefits, accelerated patient recovery, and predictable patient outcomes.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NeoCart is designed to treat pain at the source, improve function, and potentially prevent a patient's progression to OA. NeoCart is a three-dimensional tissue-engineered disc of new cartilage that is manufactured by growing chondrocytes, the cells responsible for maintaining cartilage health. The chondrocytes are derived from the patient on a unique scaffold. In this therapy, the patient's cells are separated from a tissue biopsy specimen and multiplied in a manufacturing facility. The cells are then infused into the scaffold, which is a three-dimensional structure that enables the proper delivery, distribution, and organization of cells in their natural environment to support tissue formation. Before NeoCart is implanted in a patient, the patient's cells and the scaffold undergo a bioengineering process in a Tissue Engineering Processor ("TEP"). The TEP is designed to mimic the conditions inside a functional joint so that the tissue is prepared to begin functioning like normal healthy cartilage prior to implantation. Once NeoCart is ready to be implanted, a bioadhesive is used to anchor NeoCart at the site of cartilage injury and seal the implant to the surrounding native cartilage. The bioadhesive is a natural, biocompatible material which acts as adhesives for biological tissue, thereby eliminating the need for complicated suturing (</w:t>
      </w:r>
      <w:r>
        <w:rPr>
          <w:rFonts w:ascii="Times New Roman" w:cs="Times New Roman" w:eastAsia="Times New Roman" w:hAnsi="Times New Roman"/>
          <w:sz w:val="18"/>
          <w:szCs w:val="18"/>
          <w:b w:val="1"/>
          <w:bCs w:val="1"/>
          <w:color w:val="auto"/>
        </w:rPr>
        <w:t>Figure 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10: Mechanism of the regenerative medicine cell therapy technology, NeoCart.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156845</wp:posOffset>
            </wp:positionV>
            <wp:extent cx="3900170" cy="258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0017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Figure 10 </w:t>
      </w:r>
      <w:r>
        <w:rPr>
          <w:rFonts w:ascii="Times New Roman" w:cs="Times New Roman" w:eastAsia="Times New Roman" w:hAnsi="Times New Roman"/>
          <w:sz w:val="18"/>
          <w:szCs w:val="18"/>
          <w:i w:val="1"/>
          <w:iCs w:val="1"/>
          <w:color w:val="auto"/>
        </w:rPr>
        <w:t>demonstrates the mechanism of our regenerative medicine cell therapy technology, NeoCart. We believe NeoCart has the potential to accelerate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healing and reduce pain by reconstructing a patient's previously damaged knee cartilage. In this therapy, healthy cartilage tissue is grown and implanted in the patient.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INHALED MUCOSAL VACCINE PLATFORM</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developing a next-generation, inhalation-based mucosal vaccine platform based on a novel ChAd vector, which includes OCU500, a COVID-19 vaccine; OCU510, a seasonal quadrivalent flu vaccine; and OCU520, a combination quadrivalent seasonal flu and COVID-19 vaccine.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COVID-19</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COVID-19, caused by the SARS-CoV-2 virus, was first reported to have surfaced in Wuhan, China in December 2019 and was declared a global pandemic by the World Health Organization ("WHO") in March 2020. COVID-19 is a highly transmissible disease that spreads from person to person through respiratory droplets that are produced when an infected person coughs, sneezes, or talks. Since being discovered, new variants of SARS-CoV-2 have emerged. New variants of a virus emerge when a mutation to the virus' genes occurs. As of January 28, 2024, SARS-CoV-2 and its variants have caused approximately over 774.4 million cases of COVID-19 and 7.0 million deaths, with the United States alone accounting for over 103.4 million cases and 1.2 million deaths. The JN.1 variant is a descendent lineage of SARS-CoV-2 variant BA.2.86, with the earliest sample collected on August 25, 2023 and has continued to be deemed a variant of interest by the WHO due to at least one of the following characteristics: increase in transmissibility or detrimental change in COVID-19 epidemiology, an increase in virulence or change in clinical disease presentation, or a decrease in effectiveness of public health and social measures or available diagnostics, vaccines, or therapeutics. Since being identified, JN.1 continues to be reported in multiple countries, and its prevalence has been rapidly increasing globally and now represents the vast majority of BA.2.86 descendent lineages reported. On May 11, 2023, the U.S. Department of Health and Human Services announced the COVID-19 public health emergency ended, yet the cases remain high as new variants emerge since the current intramuscular vaccines do not provide significant protection against respiratory mucosal infection.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Seasonal Flu</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seasonal flu, or seasonal influenza, is an acute respiratory infection caused by influenza viruses circulating globally. In temperate climates, seasonal epidemics occur mainly during the winter, while in other regions, transmission may occur throughout the year, causing outbreaks more irregularly. The seasonal flu causes illnesses that range in severity and may lead to hospitalization and death in certain cases. As of October 3, 2023, worldwide, the seasonal flu is estimated to result in 3 to 5 million cases of severe illness, and 0.3 million to 0.7 million respiratory deaths.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seasonal flu spreads easily and rapidly transmits in crowded areas. The seasonal flu is transmitted when an infected person coughs or sneezes and droplets containing the virus are dispersed into the air and infects those in close proximity that breathe the droplets in. The seasonal flu can also spread through physical contact, although this type of transmission is less common than airborne transmission. The flu is most commonly prevented by getting an annual flu vaccine and taking preventative actions to avoid transmission such as staying away from those who are sick, frequent handwashing, and covering coughs and sneezes. As of October 10, 2023, for the 2022 to 2023 flu season, over 49.3% of the U.S. population six months of age and older have received a seasonal flu shot. As of August 31, 2023, 173.4 million vaccine doses have been administered for the 2022 to 2023 season. Several flu antiviral drugs are also available in different dosage forms to treat the seasonal flu, including pills, liquid, an inhaled powder, or an intravenous solution. These flu antiviral drugs are only available through a prescription from a healthcare provider and are not sold over the counter.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Novel Inhaled Mucosal Vaccine Platform for the Prevention of COVID-19 and the Seasonal Flu</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developing a next-generation, inhalation-based mucosal vaccine platform based on a novel ChAd vector, which includes OCU500, a monovalent COVID-19 vaccine; OCU510, a seasonal quadrivalent flu vaccine; and OCU520, a combination quadrivalent seasonal flu and COVID-19 vaccine.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novel inhaled mucosal vaccine platform is specifically designed to generate local mucosal immunity in the nasopharyngeal region. The mucosal vaccination method has demonstrated potent induction of both mucosal and systemic immune responses, which prevents infection and spread, thereby limiting the origins of new variants. We believe our novel inhaled mucosal vaccine platform is unique as it is designed to induce mucosal immunity, which is crucial for preventing upper respiratory tract infection, as compared to intramuscular vaccines. The advantages of these inhaled mucosal vaccines include needle-free administration, the potential for increased compliance, scalable manufacturing, storage and shipping at standard refrigerated conditions, and the potential to develop multi-strain and variant-specific versions. As these vaccine candidates are being developed to be administered through inhalation, we believe our novel inhaled mucosal vaccine platform has the potential to generate rapid local immunity in the upper airways and lungs where viruses enter and infect the body, which we believe may help reduce or prevent infection and transmission as well as provide protection against new virus variants.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Spike (S) protein of SARS-CoV-2 is the principal target for antibody-based and vaccine countermeasures. The S protein serves as the primary viral attachment and entry factor to promote SARS-CoV-2 entry into human cells. In preclinical studies that have been conducted to assess the durability, dose response, and cross-protective activity in mice, it was demonstrated that a single dose of our inhaled mucosal COVID-19 vaccine induced durably high neutralizing and antibody effector responses in serum and S protein specific IgG and Immunoglobulin A, which is essential for reducing infection and transmission of COVID-19. This approach represents a potential universal booster, regardless of previous COVID-19 vaccination. OCU520, our combination quadrivalent seasonal flu and COVID-19 vaccine, is designed to provide the unique ease of getting both an annual COVID-19 booster vaccine and an annual seasonal flu vaccine in one vaccine.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WU License Agreement, we obtained the rights to develop, manufacture, and commercialize an inhaled mucosal COVID-19 vaccine in the Mucosal Vaccine Territory. In addition, we internally developed technology related to the flu and COVID-19's vaccine design and filed intellectual property. In October 2023, OCU500 was selected by the National Institute of Allergy and Infectious Diseases' ("NIAID") Project NextGen for inclusion in clinical trials. OCU500 will be tested via two different mucosal routes, inhalation into the lungs and as a nasal spray. The clinical trials are expected to begin mid-2024. We are continuing discussions with relevant government agencies regarding developmental funding for our OCU510 and OCU520 platforms.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biotechnology industry is characterized by rapidly advancing technologies as well as a strong emphasis on intellectual property leading to a highly competitive environment for the development and commercialization of therapeutic products, regenerative medicines, and vaccines. We face competition with respect to our current product candidates and will face competition with respect to any product candidates that we may seek to develop or commercialize in the future. We face competition from many different sources, including from major pharmaceutical companies, specialty pharmaceutical companies, biotechnology companies, academic institutions, government agencies, and other public and private research organizations that conduct research, seek patent protection, and establish collaborative arrangements for research, development, manufacturing, and commercialization. We plan to compete in the segments of pharmaceutical, biotechnological, and other related markets with therapeutics, regenerative medicines, and vaccines that have an acceptable safety profile and target commercially attractive indications.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development and commercialization of gene therapies is highly competitive. We are aware of several companies focusing on gene therapies for various ophthalmic indications including Applied Genetic Technologies Corporation, as acquired by Syncona Limited, Astellas Pharma Inc., MeiraGTx Holdings plc in partnership with Janssen Pharmaceuticals, Inc., Nanoscope Therapeutics Inc., REGENXBIO Inc., Novartis AG, F. Hoffmann-La Roche AG ("Roche AG"), Kiora Pharmaceuticals, Inc., Genentech, Inc. in partnership with Lineage Cell Therapeutics, Inc., and Luxturna, the product developed by Spark Therapeutics, Inc. and marketed by Roche AG, is currently the only gene therapy approved to treat IRDs in the United States which addresses only mutations in the one gene, </w:t>
      </w:r>
      <w:r>
        <w:rPr>
          <w:rFonts w:ascii="Times New Roman" w:cs="Times New Roman" w:eastAsia="Times New Roman" w:hAnsi="Times New Roman"/>
          <w:sz w:val="18"/>
          <w:szCs w:val="18"/>
          <w:i w:val="1"/>
          <w:iCs w:val="1"/>
          <w:color w:val="auto"/>
        </w:rPr>
        <w:t>RPE65</w:t>
      </w:r>
      <w:r>
        <w:rPr>
          <w:rFonts w:ascii="Times New Roman" w:cs="Times New Roman" w:eastAsia="Times New Roman" w:hAnsi="Times New Roman"/>
          <w:sz w:val="18"/>
          <w:szCs w:val="18"/>
          <w:color w:val="auto"/>
        </w:rPr>
        <w:t xml:space="preserve">. The mutation associated with the </w:t>
      </w:r>
      <w:r>
        <w:rPr>
          <w:rFonts w:ascii="Times New Roman" w:cs="Times New Roman" w:eastAsia="Times New Roman" w:hAnsi="Times New Roman"/>
          <w:sz w:val="18"/>
          <w:szCs w:val="18"/>
          <w:i w:val="1"/>
          <w:iCs w:val="1"/>
          <w:color w:val="auto"/>
        </w:rPr>
        <w:t>RPE65</w:t>
      </w:r>
      <w:r>
        <w:rPr>
          <w:rFonts w:ascii="Times New Roman" w:cs="Times New Roman" w:eastAsia="Times New Roman" w:hAnsi="Times New Roman"/>
          <w:sz w:val="18"/>
          <w:szCs w:val="18"/>
          <w:color w:val="auto"/>
        </w:rPr>
        <w:t xml:space="preserve"> gene represents just one of more than 125 mutated genes linked to RP and LCA.</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regenerative medicine sector is characterized by innovative science, rapidly advancing technologies, and a strong emphasis on proprietary products. The competitive landscape in the field of articular cartilage repair in the U.S. is emerging and has stimulated a substantial amount of interest from companies developing tissue repair solutions. Companies that may compete with our NeoCart product candidate include Vericel Corporation's MACI, the only FDA-approved ACI product in the United States, and Aesculap Biologics, LLC's NOVOCART 3D, which is currently enrolling subjects in their Phase 3 clinical trial.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and will continue to face, intense competition from companies as well as institutions that are pursuing or have commercialized vaccines that would compete with our novel inhaled mucosal vaccine platform, if commercialized. The competitive landscape of COVID-19 vaccines has been rapidly developing since the beginning of the COVID-19 pandemic and includes competitors such as Pfizer Inc./BioNTech SE, Moderna, Inc., AstraZeneca PLC, Novavax, Inc., Sinovac Biotech Ltd., Gamaleya Research Institute of Epidemiology and Microbiology, and Center for Genetic Engineering and Biotechnology. Each of the aforementioned vaccines have been authorized or approved in at least one country within the Ocugen Mucosal Vaccine Territory and are intramuscular vaccines. CanSinoBIO's Convidecia Air, an intranasal vaccine targeting COVID-19, has been approved in China. Other competitors for our novel inhaled mucosal vaccine platform include CyanVac LLC, Meissa Vaccines, Inc., Codagenix, Inc., Intravacc B.V., McMaster University, and Tetherex Pharmaceuticals Corporation. Companies such as Pfizer Inc./BioNTech SE, Moderna, Inc., CureVac N.V in partnership with GSK plc, Vivaldi Biosciences Inc., and Novavax, Inc. are also in the process of developing a combination vaccine that will protect against COVID-19 and the seasonal flu. Vivaldi Biosciences Inc. is also currently undergoing clinical trials for their intranasal vaccine for the seasonal flu.</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biologic products is highly competitive as well. Companies that may compete with our OCU200 product candidate include Roche AG, Regeneron Pharmaceuticals, Inc., AsclepiX Therapeutics, Inc., Outlook Therapeutics, Inc., Novartis AG, Oxurion NV, Unity Biotechnology, Inc., Opthea Limited, and 4D Molecular Therapeutics, Inc. Roche AG, Regeneron Pharmaceuticals, Inc., and Novartis AG have marketed anti-VEGF products.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competitors, either alone or with strategic partners, may have significantly greater financial resources to support research and development, manufacturing, preclinical studies, and clinical trials, as well as regulatory, commercialization, and marketing efforts. These organizations also compete with us in recruiting and retaining qualified scientific and management personnel, establishing clinical trial sites, patient registration for clinical trials, licensing or acquiring technologies necessary for our programs, and in our commercialization efforts if our product candidates are approved. Early-stage companies may also prove to be significant competitors, particularly through collaborative arrangements with large and established companies. Mergers and acquisitions in the pharmaceutical and biotechnology industries may result in even more resources being concentrated among a smaller number of our competitors.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our in-house expertise and know-how as well as the expertise and know-how of our industry leading manufacturing partners to develop and scale up our manufacturing processes for both the clinical and commercial supply of our product candidates. Our in-house expertise includes personnel with extensive product development and commercialization experience who actively manage our manufacturing partners that produce products in our product candidate pipeline. Our current manufacturing partners have state-of-the-art facilities with significant expertise in biotechnology manufacturing.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Supply of Our Modifier Gene Therapy Platform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co-development and commercialization agreement with CanSinoBIO with respect to the development and commercialization of our modifier gene therapy platform including OCU400, OCU410 and OCU410ST. CanSinoBIO is responsible for the CMC development and manufacture of clinical supplies of such product candidates and is responsible for the costs associated with such activities. CanSinoBIO has an exclusive license to develop, manufacture, and commercialize our modifier gene therapy platform in and for China, Hong Kong, Macau, and Taiwan (the "CanSinoBIO Territory"), and we maintain exclusive development, manufacturing, and commercialization rights with respect to our modifier gene therapy platform outside the CanSinoBIO Territory (the "Company Territory").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partner with CanSinoBIO for the process development, manufacturing, testing, and release of drug product candidates for use in IND-enabling studies and clinical trials. We perform discovery and analytical development activities in our research and development lab. The partnership with CanSinoBIO enables us in completing manufacturing, with release of clinical trial materials in an expedited manner and helps in mitigating the risk of delay that can be associated when working with highly competitive CDMOs that have long wait times with regard to gene therapy manufacturing. Although we rely on our partnership for manufacturing, we have personnel with extensive experience in gene therapy manufacturing to oversee and guide the process and analytical development, scale-up, release, and stability testing at our partner site. We perform periodic audits of our manufacturing partner to confirm compliance with applicable regulations.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about our partnership with CanSinoBIO, see "—License and Development Agreements—Co-Development and Commercialization Agreement with CanSinoBIO" and see Note 3 in our notes to the consolidated financial statements included elsewhere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Commercial Supply of NeoCart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completed renovating an existing facility into a current GMP facility in accordance with the FDA's regulations in support of NeoCart manufacturing for Phase 3 clinical trial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Supply of Inhaled Mucosal Vaccine Platform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2023, OCU500 was selected by the NIAID Project NextGen for inclusion in clinical trials. Project NextGen is a $5 billion multi-government agency initiative to develop the next generation of vaccines and therapeutics to combat the spread of COVID-19. NIAID, with funding from Project NextGen, will cover the full cost of the clinical trials, including operations and related analysis. Ocugen will be responsible for providing clinical trial materials and upon completion will have full right of reference to the findings, which Ocugen believes will provide clinical evidence to support the further development of the Company’s lead mucosal vaccine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Supply of OCU200</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2020, we entered into a manufacturing agreement with a CDMO for the manufacture of OCU200. Under the manufacturing agreement, our CDMO will manage all CMC and clinical manufacturing activities for OCU200. We have completed the technology transfer of manufacturing processes to our CDMO and have produced clinical trial materials to initiate the planned Phase 1 clinical trial. In April 2023, the FDA placed our IND application to initiate a Phase 1 trial targeting DME on clinical hold, as part of the FDA's request for additional information related to CMC. We have submitted a response to the FDA with additional information. We continue to work with the FDA to address comments to lift the clinical hold.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DEVELOPMENT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license and development agreements under which we license or co-own patents, patent applications, technical information, and other intellectual property for our product candidates. Certain diligence and financial obligations are tied to these agreements. We consider the following agreements to be material to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Modifier Gene Therapy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SERI</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December 2017, we entered into an exclusive license agreement with SERI, which was amended in January 2021 (as amended, the "SERI Agreement"). The SERI Agreement gives us an exclusive, worldwide, sublicensable license to patent rights, biological materials, and technical information for NHR genes </w:t>
      </w:r>
      <w:r>
        <w:rPr>
          <w:rFonts w:ascii="Times New Roman" w:cs="Times New Roman" w:eastAsia="Times New Roman" w:hAnsi="Times New Roman"/>
          <w:sz w:val="18"/>
          <w:szCs w:val="18"/>
          <w:i w:val="1"/>
          <w:iCs w:val="1"/>
          <w:color w:val="auto"/>
        </w:rPr>
        <w:t>NR1D1</w:t>
      </w:r>
      <w:r>
        <w:rPr>
          <w:rFonts w:ascii="Times New Roman" w:cs="Times New Roman" w:eastAsia="Times New Roman" w:hAnsi="Times New Roman"/>
          <w:sz w:val="18"/>
          <w:szCs w:val="18"/>
          <w:color w:val="auto"/>
        </w:rPr>
        <w:t xml:space="preserve">, NR2E3 (OCU400),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(OCU410 and OCU410ST), Nuclear Protein 1, Transcriptional Regulator ("</w:t>
      </w:r>
      <w:r>
        <w:rPr>
          <w:rFonts w:ascii="Times New Roman" w:cs="Times New Roman" w:eastAsia="Times New Roman" w:hAnsi="Times New Roman"/>
          <w:sz w:val="18"/>
          <w:szCs w:val="18"/>
          <w:i w:val="1"/>
          <w:iCs w:val="1"/>
          <w:color w:val="auto"/>
        </w:rPr>
        <w:t>NUPR1</w:t>
      </w:r>
      <w:r>
        <w:rPr>
          <w:rFonts w:ascii="Times New Roman" w:cs="Times New Roman" w:eastAsia="Times New Roman" w:hAnsi="Times New Roman"/>
          <w:sz w:val="18"/>
          <w:szCs w:val="18"/>
          <w:color w:val="auto"/>
        </w:rPr>
        <w:t>"), and Nuclear Receptor Subfamily 2 Group C Member 1 ("</w:t>
      </w:r>
      <w:r>
        <w:rPr>
          <w:rFonts w:ascii="Times New Roman" w:cs="Times New Roman" w:eastAsia="Times New Roman" w:hAnsi="Times New Roman"/>
          <w:sz w:val="18"/>
          <w:szCs w:val="18"/>
          <w:i w:val="1"/>
          <w:iCs w:val="1"/>
          <w:color w:val="auto"/>
        </w:rPr>
        <w:t>NR2C1")</w:t>
      </w:r>
      <w:r>
        <w:rPr>
          <w:rFonts w:ascii="Times New Roman" w:cs="Times New Roman" w:eastAsia="Times New Roman" w:hAnsi="Times New Roman"/>
          <w:sz w:val="18"/>
          <w:szCs w:val="18"/>
          <w:color w:val="auto"/>
        </w:rPr>
        <w:t>. The January 2021 amendment to the SERI Agreement additionally granted us rights in co-owned intellectual property pursuant to certain patent applications and provisional patent applications at the time of the amendment. Under the SERI Agreement, we may make, have made, use, offer to sell, and import licensed products, and must use commercially reasonable efforts to bring one or more licensed products to market as soon as reasonably practicable.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SERI maintains control of patent preparation, filing, prosecution, and maintenance. We are responsible for SERI’s out-of-pocket expenses related to the filing, prosecution, and maintenance of the licensed patent rights. In the event that SERI decides to discontinue the prosecution or maintenance of the licensed patent rights, we have the right, but not the obligation, to file for,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continue to prosecute, maintain, or enforce such licensed patent rights. We have assumed prosecution of certain licensed patent rights under the SERI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Co-Development and Commercialization Agreement with CanSinoBIO</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entered into the CanSinoBIO Agreement with CanSinoBIO with respect to the development and commercialization of our modifier gene therapy product candidates, OCU400, OCU410, and OCU410ST. The CanSinoBIO Agreement was originally entered into in September 2019 with regards to OCU400, and was subsequently amended in September 2021 and November 2022 to include OCU410 and OCU410ST, respectively. Pursuant to the CanSinoBIO Agreement, we are collaborating with CanSinoBIO on the development of our modifier gene therapy platform. CanSinoBIO is responsible for the CMC development and manufacture of clinical supplies of such product candidates and is responsible for the costs associated with such activities. CanSinoBIO has an exclusive license to develop, manufacture, and commercialize our modifier gene therapy platform in and for the CanSinoBIO Territory, and we maintain exclusive development, manufacturing, and commercialization rights with respect to our modifier gene therapy platform in the Company Territory.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CanSinoBIO will pay us an annual royalty between mid- and high-single digits based on Net Sales (as defined in the CanSinoBIO Agreement) of the products included in our modifier gene therapy platform in the CanSinoBIO Territory. We will pay CanSinoBIO an annual royalty between low- and mid-single digits based on Net Sales of the products included in our modifier gene therapy platform in the Company Territory.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NeoCart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Purpose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2005, Histogenics entered into an exclusive agreement (the "Purpose Agreement") to sublicense certain technology from Purpose, which we assumed as a result of our reverse merger with Histogenics. Purpose entered into the original license agreement ("BWH-Purpose Agreement") with Brigham and Women’s Hospital, Inc. ("BWH") in August 2001. The BWH-Purpose Agreement granted Purpose an exclusive, royalty-bearing, worldwide, sublicensable license, under its rights in licensed patents and patent applications co-owned by BWH and Purpose to make, use, and sell (1) an apparatus for cultivating a cell or tissue, (2) cell or tissue products made using such apparatus, (3) cell or tissue products made using processes for cultivating a cell or tissue as disclosed in the licensed patents and patent applications, and (4) any apparatus that cultivates cells or tissues using such processes, in each case, whose manufacture, use, or sale is covered by a valid claim of the licensed patents and patent applications, only for therapeutic use.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Agreement was amended and restated in June 2012, pursuant to which Purpose granted Histogenics outside of Japan: (a) exclusive rights to all of Purpose's technology (owned or licensed) related to the exogenous tissue processors, which is used in the development of NeoCart, (b) continued supply of exogenous tissue processors, and (c) rights to manufacture the exogenous tissue processors at any location we choose. In exchange for such consideration, Purpose was granted an exclusive license in Japan for the use of all of our NeoCart technology and was reimbursed for development costs on a multi-unit exogenous tissue processor. In May 2016, the Purpose Agreement was amended, whereby Histogenics reacquired the development and commercialization rights to NeoCart in Japan.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Purpose Agreement, as amended, provides us with the ability, worldwide, to (i) use, make, have made, sell, offer for sale, import or otherwise exploit products or services covered by claims of Purpose's patents and (ii) use, reproduce, modify, create derivative works of and otherwise exploit Purpose’s technology for the design, development, manufacture, testing, support, and commercialization of any product or service that incorporates or builds upon Purpose’s technology, in each case, only in connection with articular cartilage, ligaments, tendons, and meniscus. Purpose retains the right to sell its single unit exogenous tissue processer machines to research institutes for general but noncommercial use anywhere in the world.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Vaccines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Washington University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we entered into the WU License Agreement with Washington University, pursuant to which we were granted an exclusive, sublicensable, royalty-bearing license to patent rights for an inhaled mucosal COVID-19 vaccine, as well as a license to certain tangible research property and technical information necessary to exploit the patent rights within the United States, Europe, and Japan. In January 2023, we amended the WU License Agreement to add the countries of South Korea, Australia, and China to the Mucosal Vaccine Territory, and in November 2023, we further amended the WU License Agreement to add Hong Kong to the Mucosal Vaccine Territory.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WU License Agreement, we may make, have made, sell, offer for sale, use, market, promote, distribute, export, and import licensed products in the Mucosal Vaccine Territory. We will use commercially reasonable efforts to develop, manufacture, promote, and sell the licensed products in the Mucosal Vaccine Territory.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Washington University maintains control of patent preparation, filing, prosecution, and maintenance. We are responsible for Washington University's out-of-pocket expenses related to the preparation, filing, prosecution, issuance, and maintenance of the licensed patent rights incurred pursuant to the WU License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NIAID Project NextGen Clinical trial support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2023, OCU500 was selected by the NIAID Project NextGen for inclusion in clinical trials. Project NextGen is a $5 billion multi-government agency initiative to develop the next generation of vaccines and therapeutics to combat the spread of COVID-19. NIAID, with funding from Project NextGen, will cover the full cost of the clinical trials, including operations and related analysis. Ocugen will be responsible for providing clinical trial materials and upon completion will have full right of reference to the findings, which Ocugen believes will provide clinical evidence to support the further development of the Company’s lead mucosal vaccine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Novel Biologic Therapy for Retinal Diseases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the University of Colorado</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2014, we entered into an exclusive license agreement with CU, which was amended in January 2017 and clarified by a letter of understanding in November 2017 (as amended and clarified, the "CU Agreement"). The CU Agreement gives us an exclusive, worldwide, sublicensable license to patents for OCU200 to make, have made, use, import, offer to sell, sell, have sold, and practice the licensed products in all therapeutic applications. Under the CU Agreement, we must use commercially reasonable efforts to develop, manufacture, sublicense, market, and sell the licensed products and have assumed primary responsibility for preparing, filing, and prosecuting broad patent claims for OCU200 for CU's benefit. Further, we have assumed primary responsibility for all patent activities, including all costs associated with the perfection and maintenance of the patents for OCU200.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technologies and intellectual products. We have applied, obtained, and licensed patent protection for our product candidates. We intend to maintain and defend our intellectual property rights to protect our technology, inventions, processes, and improvements that are commercially important to the development of our business. There is no guarantee that any of our current or future intellectual property will advance the commercial success of our product candidates. There is also no guarantee patents will be issued or registered for any pending patent applications or patent applications that we may file in the future. Our commercial success also depends in part on our non-infringement of the patents and proprietary rights of third parties.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April 10, 2024, our patent portfolio for our product candidates included a total of 24 issued patents in the United States, 63 issued or registered patents in foreign countries, 12 pending patent applications in the United States, and 15 pending patent applications in foreign countries. Our issued or registered patents and pending patent applications include those licensed from SERI, Purpose Co, Washington University, and CU. Certain issued patents and pending patent applications cover multiple of our product candidates. Our intellectual property includes compositions of matter, methods of use, product candidates, and other proprietary technology. As of April 10, 2024, we had exclusive rights or owned rights to: (i) one issued U.S. patent related to OCU400; (ii) one issued U.S. patent, two pending U.S. patent applications, and four pending foreign patent applications related to OCU410 and OCU410ST; (iii) 21 issued U.S. patents; four pending U.S. patent applications, 38 issued or registered foreign patents, and eight pending foreign patent applications related to NeoCart; (iv) six pending U.S. patent applications and three pending foreign patent applications related to OCU500, OCU510 and OCU520; and (v) one issued U.S. patent and 25 issued or registered foreign patents related to OCU200. Our current portfolio of issued patents in the U.S. and issued or registered patents in foreign countries related to our product candidates expire between 2024 and 2038.</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some instances, we may need to license additional patents and trade secrets to commercialize our product candidates in certain territories. In addition to patents, we may rely, in some circumstances, on trade secrets to protect our technology. We seek to protect our proprietary technology and processes, and obtain and maintain ownership of certain technologies, in part, by confidentiality and invention assignment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including Canada, extensively regulate, among other things, the research, development, testing, approval, manufacture, packaging, storage, recordkeeping, monitoring and reporting, labeling, advertising, promotion, distribution, marketing, sales, import, and export of biotechnological and drug products such as those we are developing. In addition, labelers of biotechnology and drug products (the entity owning the National Drug Code listed for a product) participating in Medicaid and Medicare are required to comply with mandatory price reporting, discounts, rebates, and other requirements. The processes for obtaining regulatory approvals in the United States and in other countries including Canada, along with compliance with applicable statutes and regulations, require the expenditure of substantial time and financial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Regulation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the FDA regulates biologics and drug products under the Federal Food, Drug, and Cosmetic Act ("FDCA") and its implementing regulations. In addition to the FDCA and its implementing regulations, biological products are regulated under the Public Health Service Act ("PHSA") and its implementing regulations. The process required by the FDA before product candidates may be marketed in the United States generally involves the following:</w:t>
      </w:r>
    </w:p>
    <w:p>
      <w:pPr>
        <w:spacing w:after="0" w:line="72"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("GLP") regulations, applicable requirements for the human use of laboratory animals, such as the Animal Welfare Act ("AWA"), or other applicable regulations;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human clinical trials may begin at U.S. clinical trial sites;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for each clinical site, or centrally, before a clinical trial may be initiated at that site;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in the case of a drug product candidate, or safety, purity, and potency, in the case of a biological product candidate for its intended use, performed in accordance with Good Clinical Practices ("GCPs") and additional requirements for the protection of human research subjects and their health information;</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manufacturing processes to ensure the product candidate's identity, strength, quality, purity, and potency in compliance with current GMP;</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("NDA"), in the case of a drug product candidate, or a BLA, in the case of a biological product candidate, including results of preclinical testing, detailed information about the CMC, and proposed labeling and packaging for the product candidate;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products are produced to assess compliance with current GMP, and to assure that the facilities, methods, and controls are adequate to preserve the therapeutics' identity, strength, quality, purity, and potency as well as satisfactory completion of an FDA inspection of selected clinical sites, selected clinical investigators to determine GCP compliance, and payment of user fees; and</w:t>
      </w:r>
    </w:p>
    <w:p>
      <w:pPr>
        <w:spacing w:after="0" w:line="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licensure of a BLA to permit commercial marketing for particular indications for use, including agreement on post-marketing commitments, if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and IND Submission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testing and approval process of product candidates requires substantial time, effort, and financial resources. Satisfaction of FDA pre-market approval requirements typically takes many years and the actual time required may vary substantially based upon the type, complexity, and novelty of the product or disease. Preclinical studies include laboratory evaluation of chemistry, pharmacology, toxicity, and product formulation, as well as animal studies to assess potential safety and efficacy. Such studies must generally be conducted in accordance with GLP, the AWA, and other applicable regulations and requirements. Prior to commencing the first clinical trial at a U.S. investigational site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submission. Some preclinical studies may continue even after the IND is in effect.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IND application becomes effective 30 days after receipt by the FDA, unless the FDA, within the 30-day time period, notifies the applicant of safety concerns or questions related to one or more proposed clinical trials and places the trial on a clinical hold. In such a case, the IND sponsor and the FDA must resolve any outstanding concerns before the clinical trial may begin. A separate submission to an existing IND application must also be made for each successive clinical trial conducted during product development.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(healthy volunteers or patients) under the supervision of qualified investigators. Clinical trials must be conducted in accordance with federal regulations and GCP requirements, which include the requirements that all research subjects provide their informed consent in writing for their participation in any clinical trial, as well as the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submission. If a product candidate is being investigated for multiple intended indications, separate IND applications may also be required. In addition, an IRB at each study site participating in the clinical trial and/or a central IRB must review and approve the plan for any clinical trial, informed consent forms, and communications to study subjects before a study commences at that site. An IRB is charged with protecting the welfare and rights of trial participants, and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Progress reports detailing the results of the clinical trials must also be submitted at least annually to the FDA and the IRB and more frequently if serious adverse events ("SAEs") or other significant safety information is found.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Sponsors are required to submit periodic progress reports and safety reports to FDA throughout the clinical development program. Phase 1, Phase 2, and Phase 3 clinical trials may not be completed successfully within any specified period, if at all.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If the FDA issues a clinical hold halting a clinical trial, the agency must notify the IND sponsor of the grounds for the hold. Any identified deficiencies must be resolved before the FDA will lift the hold and allow the clinical trial to begin or resume. There is no guarantee the FDA will ever lift a clinical hold once put in place. An IRB may also require the clinical trial at the site to be halted, either temporarily or permanently, for failure to comply with the IRB's requirements or if the trial poses an unexpected serious harm to subjects. The FDA or an IRB may also impose conditions on the conduct of a clinical trial. Clinical trial sponsors may also choose to discontinue clinical trials as a result of risks to subjects, a lack of favorable results, or changing business priorities.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drugs and biologics for the conduct of human clinical trials is subject to current GMP requirements. Investigational drugs, biologics, active ingredients, and therapeutic substances imported into the United States are also subject to regulation by the FDA. Further, the export of investigational products outside of the United States is subject to regulatory requirements of the receiving country, as well as U.S. export requirements under the FDCA.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general, for purposes of NDA and BLA approval, human clinical trials are typically conducted in three sequential phases, which may overlap or be combined.</w:t>
      </w:r>
    </w:p>
    <w:p>
      <w:pPr>
        <w:spacing w:after="0" w:line="52" w:lineRule="exact"/>
        <w:rPr>
          <w:sz w:val="20"/>
          <w:szCs w:val="20"/>
          <w:color w:val="auto"/>
        </w:rPr>
      </w:pPr>
    </w:p>
    <w:p>
      <w:pPr>
        <w:jc w:val="both"/>
        <w:ind w:left="660" w:hanging="328"/>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Studies are initially conducted in a small group of healthy human volunteers or subjects (e.g., 10 to 20 subjects) with the target disease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condition to test the product candidate for safety, dosage tolerance, structure-activity relationships, mechanism of action, absorption, metabolism, distribution, and excretion. If possible, Phase 1 trials may also be used to gain an initial indication of product effectiveness.</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Controlled studies are conducted in larger but still limited subject populations with a specified disease or condition to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preliminary efficacy, identify optimal dosages, dosage tolerance and schedule, possible adverse effects and safety risks, and expanded evidence of safety.</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3 — </w:t>
      </w:r>
      <w:r>
        <w:rPr>
          <w:rFonts w:ascii="Times New Roman" w:cs="Times New Roman" w:eastAsia="Times New Roman" w:hAnsi="Times New Roman"/>
          <w:sz w:val="17"/>
          <w:szCs w:val="17"/>
          <w:color w:val="auto"/>
        </w:rPr>
        <w:t>These adequate and well-controlled clinical trials are undertaken in expanded subject populations (e.g., several hundred to several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thousand patients), generally at geographically dispersed clinical trial sites, to generate enough data to provide statistically significant evidence of clinical efficacy and safety of the product candidate for approval, to establish the overall risk-benefit profile of the product candidate, and to provide adequate information for the labeling of the product candidate. Typically, two Phase 3 trials are required by the FDA for product approval.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some limited circumstances, however, the FDA may approve an NDA or BLA based upon a single Phase 3 clinical study.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may also require, or companies may conduct, additional clinical trials for the same indication after a product is approved. These are referred to as Phase 4 studies and may be made a condition to be satisfied after approval. The results of Phase 4 studies can confirm or refute the effectiveness of a product candidate, and can provide important long-term safety information.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current GMP requirements. The manufacturing process must be capable of consistently producing quality batches of the product candidate and, among other things, manufacturers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Application Submission, Review by the FDA, and Marketing Approval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Assuming successful completion of the required clinical and preclinical testing, the results of product development, including CMC, non-clinical studies, and clinical trial results, including negative or ambiguous results, as well as positive findings, are all submitted to the FDA, along with the proposed labeling, as part of an NDA, in the case of a drug, or BLA, in the case of a biologic, requesting approval to market the product for one or more indications. In most cases, the submission of a marketing application is subject to a substantial application user fee.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under the Pediatric Research Equity Act ("PREA"), a BLA or NDA or supplement to a BLA or NDA for a new active ingredient, indication, dosage form, dosage regimen, or route of administration, must contain data that is adequate to assess the safety and effectiveness of the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the approval of the product for use in adults, or full or partial waivers from the pediatric data requirements. Orphan products are also exempt from the PREA requirements.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("REMS") to ensure that the benefits of the product candidate outweigh the risks. Following product approval, a REMS may also be required by the FDA if new safety information is discovered and the FDA determines that a REMS is necessary to ensure that the benefits of the product continue to outweigh the risks. Any of these limitations on approval or marketing could restrict the commercial promotion, distribution, prescription, or dispensing of products.</w:t>
      </w:r>
    </w:p>
    <w:p>
      <w:pPr>
        <w:spacing w:after="0" w:line="19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Once the FDA receives an application, it generally takes 60 days to review the NDA or BLA (collectively, the "marketing application") to determine if it is substantially complete to permit a substantive review, before it accepts the application for filing. The FDA may refuse to review any application that it deems incomplete or not properly reviewable at the time of submission and may request additional information. If the submission is accepted for filing, the FDA begins an in-depth review of the marketing application. Under the goals and policies agreed to by the FDA under PDUFA, the FDA aims to complete its initial review of a marketing application and respond to the applicant within 10 months from the filing date for a standard marketing application, and within six months from the filing date for a priority marketing application. The FDA does not always meet its PDUFA goal dates for standard and priority marketing applications, and the review process is often significantly extended by FDA requests for additional information or clarification.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may also refer certain applications to an advisory committee. Before approving a product candidate for which no active ingredient (including any ester or salt of an active ingredient) has previously been approved by the FDA, the FDA must either refer that product candidate to an external advisory committee or provide in an action letter a summary of the reasons why the FDA did not refer the product candidate to an advisory committee. The FDA is not bound by the recommendations of an advisory committee, but it considers such recommendations carefully when making decisions.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reviews applications to determine, among other things, whether a product candidate meets the agency's approval standards and whether the manufacturing methods and controls are adequate to assure and preserve the product's identity, strength, quality, potency, and purity. Before approving a marketing application, the FDA typically will inspect the facility or facilities where the product is manufactured, referred to as a Pre-Approval Inspection. The FDA will not approve an application unless it determines that the manufacturing processes and facilities, including contract manufacturers and subcontractors, are in compliance with current GMP requirements and are adequate to assure consistent production of the product within required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specifications. Additionally, before approving a marketing application, the FDA will inspect one or more clinical trial sites to assure compliance with GCPs. To assure current GMP and GCP compliance, an applicant will incur significant expenditure of time, money, and effort in the areas of training, recordkeeping, production, and quality control.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evaluating the marketing application and all related information, including the advisory committee recommendation, if any, and inspection reports regarding the manufacturing facilities and clinical trial sites, the FDA may issue an approval letter, or, in some cases, a Complete Response Letter ("CRL"). A CRL indicates that the review cycle for the application is complete and the application is not ready for approval. It also describes all of the specific deficiencies that the FDA identified. A CRL generally contains a statement of specific conditions that must be met in order to secure final approval of the marketing application, and may require additional clinical or preclinical testing in order for the FDA to reconsider the application. If a CRL is issued, the applicant may either: resubmit the marketing application addressing all of the deficiencies identified in the letter; withdraw the application; or request an opportunity for a hearing.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or populations for use of the product, require that contraindications, warnings, or precautions be included in the product labeling, including a boxed warning, require that post-approval studies, including Phase 4 clinical trials, be conducted to further assess a product's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Pediatric exclusivity is one type of non-patent marketing exclusivity in the United States and, if granted, provides for the attachment of an additional six months of marketing protection to the term of any existing regulatory exclusivity and patent periods.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 on the requested studies within the statutory timeframe.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Products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Orphan Drug Act provides incentives for the development of products for rare diseases or conditions. Specifically, sponsors may apply for and receive ODD if a product candidate is intended to treat rare diseases or conditions, which generally are diseases or conditions affecting less than 0.2 million individuals in the United States, or affecting more than 0.2 million individuals in the United States and for which there is no reasonable expectation that the cost of developing and making the product available in the United States will be recovered from U.S. sales. ODD must be requested before submitting an NDA or BLA. Additionally, sponsors must present a plausible hypothesis for clinical superiority to obtain ODD if there is a product already approved by the FDA that is considered by the FDA to be the same and is intended for the same indication. This hypothesis must be demonstrated to obtain ODD exclusivity. If granted, prior to product approval, ODD entitles a party to financial incentives such as opportunities for grant funding towards clinical study costs, tax advantages, and certain user-fee waivers. The tax advantages, however, were limited in the 2017 Tax Cuts and Jobs Act. After the FDA grants ODD, the generic identity of the drug and its potential orphan use are disclosed publicly by the FDA. ODD does not convey any advantage in, or shorten the duration of, the regulatory review and approval process. The first NDA or BLA applicant to receive FDA approval for a particular active moiety to treat a particular disease with ODD generally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ODD exclusivity by means of greater effectiveness, greater safety, or providing a major contribution to patient care. ODD exclusivity does not prevent the FDA from approving a different drug for the same disease or condition, or the same drug for a different disease or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Restoration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approved, drug and biologic products may also be eligible for periods of U.S. patent term restoration. If granted, patent term restoration extends the patent life of a single unexpired patent, that has not previously been extended, for a maximum of five years. The total patent life of the product with the extension also cannot exceed 14 years from the product's approval date. Subject to prior limitations, the period of extension is calculated by adding half of the time from the effective date of an IND application to the initial submission of a marketing application, and all of the time between the submission of the marketing application and its approval. This period may also be reduced by any time that the applicant did not act with due diligence. Only one patent claiming each approved product is eligible for restoration and the patent holder must apply for restoration within 60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days of approval. The U.S. Patent and Trademark Office ("USPTO"), in consultation with the FDA, reviews and approves the application for patent term restoration.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FDA Expedited Review and Approval Programs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has various programs that are intended to expedite or simplify the process for the development and FDA review of certain product candidates that are intended for the treatment of serious or life-threatening diseases or conditions, and demonstrate the potential to address unmet medical needs or present a significant improvement over existing therapy. The purpose of these programs is to provide important new therapeutics to patients earlier than under standard FDA review procedures. These expedited programs include fast track designation, breakthrough therapy designation, priority review, accelerated approval, and RMAT designation. Each of these programs has its own features and qualifying criteria. A sponsor must submit a request for fast track designation, breakthrough therapy designation, or priority review, which may or may not be granted by the FDA.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be eligible for a fast track designation, the FDA must determine, based on the request of a sponsor, that a product candidate is intended to treat a serious or life threatening disease or condition and demonstrates the potential to address an unmet medical need. If fast track designation is obtained, sponsors may be eligible for more frequent development meetings and correspondence with the FDA. In addition, the FDA may initiate review of sections of an application before the application is complete. This "rolling review" is available if the applicant provides and the FDA approves a schedule for the remaining information. Fast track designation can be rescinded if the product candidate no longer meets the qualifying criteria.</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be eligible for breakthrough therapy designation, the FDA must determine, based on the request of the sponsor, that a product candidate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Products designated as breakthrough therapies are eligible for intensive guidance on an efficient development program beginning as early as Phase 1 trials, a commitment from the FDA to involve senior managers and experienced review staff in a proactive collaborative and cross-disciplinary review, rolling review, and the facilitation of cross-disciplinary review. Breakthrough designation can also be rescinded if FDA determines the product candidate no longer meets qualifying criteria.</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Established under the 21st Century Cures Act, RMAT designation is a dedicated program designed to expedite the drug development and review processes for promising regenerative medicine products, including genetic therapies. A regenerative medicine advanced therapy is eligible for RMAT designation if it is intended to treat, modify, reverse, or cure a serious or life threatening disease or condition, and preliminary clinical evidence indicates that the drug or therapy has the potential to address unmet medical needs for such disease or condition. Similar to breakthrough therapy designation, RMAT designation provides the benefits of intensive FDA guidance on efficient drug development, including the ability for early interactions with FDA to discuss surrogate or intermediate endpoints, potential ways to support accelerated approval and satisfy post-approval requirements, potential priority review of a BLA, and other opportunities to expedite development and review.</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may give a priority review designation to product candidates that are intended to treat serious conditions and, if approved, would provide significant improvements in the safety or effectiveness of the treatment, diagnosis, or prevention of the serious condition. A priority review means that the goal for the FDA is to review an application within six months, rather than the standard review of 10 months under current PDUFA guidelines.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Drug or biological products studied for their safety and effectiveness in treating serious or life-threatening illnesses and that provide meaningful therapeutic benefit over existing treatments may be developed and approved under the accelerated approval pathway, which means the FDA may approve the product candidate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or biologic candidate approved under the accelerated approval pathway is generally subject to rigorous post-marketing compliance requirements, including the completion of Phase 4 or post-approval clinical trials to confirm the effect of the product.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products manufactured or distributed pursuant to FDA approvals are subject to extensive and continuing regulation by the FDA, including, among other things, requirements related to manufacturing, recordkeeping, and reporting, including adverse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experience reporting, deviation reporting, shortage reporting, and periodic reporting, product sampling and distribution, advertising, marketing, promotion, certain electronic records and signatures, and post-approval obligations imposed as a condition of approval, such as Phase 4 clinical trials, REMS, and surveillance to assess safety and effectiveness after commercialization.</w:t>
      </w:r>
    </w:p>
    <w:p>
      <w:pPr>
        <w:spacing w:after="0" w:line="18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Future FDA inspections may identify current GMP compliance issues at manufacturing facilities or at the facilities of third-party suppliers that may disrupt production or distribution or require substantial resources to correct and prevent recurrence of any deficiencies, and could result in fines or penalties by regulatory authorities.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approval, most changes to the approved product, such as adding new indications or other labeling claims are subject to FDA review and approval. There also are continuing annual program user fee requirements for approved products, excluding orphan products. In addition, manufacturers and other entities involved in the manufacture and distribution of approved therapeutics are required to register their establishments with the FDA and certain state agencies, list their products, and are subject to periodic announced and unannounced inspections by the FDA and these state agencies for compliance with current GMP and other requirements. Regulatory authorities may undertake regulatory enforcement action, withdraw product approvals, require label modifications, or request product recalls, among other actions, if a company fails to comply with regulatory standards, if it encounters problems following initial marketing, or if previously unrecognized problems are subsequently discovered.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to the manufacturing process are strictly regulated and often require FDA approval or notification before being implemented. FDA regulations also require investigation and correction of any deviations from current GMP and specifications, and impose reporting and documentation requirements upon the sponsor and any third-party manufacturers that the sponsor may decide to use.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also strictly regulates marketing, labeling, advertising, and promotion of products that are placed on the market. Physicians, in their independent professional medical judgment, may prescribe legally available products for unapproved indications that are not described in the product's labeling and that differ from those tested and approved by the FDA. Biotechnological companies, however, are required to promote their products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but not limited to, criminal and civil penalties under the FDCA and False Claims Act ("FCA"), exclusion from participation in federal healthcare programs, mandatory compliance programs under corporate integrity agreements, suspension and debarment from government contracts, and refusal of orders under existing government contracts. In addition, newly discovered or developed safety or efficacy data may require changes to a product's approved labeling, including the addition of new warnings and contraindications.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drug and biological products is subject to the Prescription Drug Marketing Act ("PDMA"), which regulates the distribution of samples at the federal level. Both the PDMA and state laws limit the distribution of prescription drug and biological product samples and impose requirements to ensure accountability in distribution. Free trial or starter prescriptions provided through pharmacies are also subject to regulations under the Medicaid Drug Rebate Program ("MDRP") and potential liability under anti-kickback and false claims laws.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Moreover, the Drug Supply Chain Act ("DSCSA") imposes obligations on sponsors of drug and biological products related to product tracking and tracing. Among the requirements of this legislation, sponsors are required to provide certain information regarding the products to individuals and entities to which product ownership is transferred, are required to label products with a product identifier, and are required to keep certain records regarding the product.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or approval suspension or revocation, imposition of a clinical hold or termination of clinical trials, warning letters, untitled letters, Form 483s, cyber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suspension and debarment from government contracts, refusal of orders under existing government contracts, exclusion from participation in federal and state healthcare programs, restitution, disgorgement, civil or criminal penalties including fines and imprisonment, and adverse publicity, among other adverse consequences.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controls for biologics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the product to the FDA together with a release protocol showing the results of all of the manufacturer's tests performed on the lot.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 therapy products are also subject to the NIH Guidelines for Research Involving Recombinant or Synthetic Nucleic Acid Molecules, which require, among other things, that trials involving recombinant or synthetic nucleic acid molecules be reviewed by an Institutional Biosafety Committee ("IBC"). The IBC reviews, approves, and supervises research involving recombinant or synthetic nucleic acid molecules.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regulations discussed above, there are a number of additional standards that apply to clinical trials involving the use of gene therapy. The FDA has issued various guidance documents regarding gene therapies, which outline additional factors that the FDA will consider during product development that relate to, among other things: the proper preclinical assessment of gene therapies; the CMC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recommends that sponsors observe subjects for potential gene therapy-related delayed adverse events for a prolonged period of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Fraud and Abuse, Data Privacy and Security, and Transparency Laws and Regulations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activities, including but not limited to, research, marketing, sales, promotion, distribution, medical education, and other activities following product approval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Centers for Medicare and Medicaid Services ("CMS") and the Health Resources and Services Administration, the Department of Veterans Affairs, the Department of Defense, and state and local governments. Our business activities must comply with numerous healthcare laws, including but not limited to, anti-kickback and false claims laws and regulations as well as data privacy and security laws and regulations, which are described below, as well as state and federal consumer protection and unfair competition laws. Moreover, to the extent that we license the right to sell our product candidates, if approved, to another entity under that entity's labeler code, the licensee would have regulatory responsibilities, including healthcare, reimbursement, pricing, and reporting regulatory responsibilities.</w:t>
      </w:r>
    </w:p>
    <w:p>
      <w:pPr>
        <w:spacing w:after="0" w:line="202"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The federal Anti-Kickback Statute, which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or order, or the referral to another for the furnishing or arranging of any item or service reimbursable under Medicare, Medicaid, or other federal healthcare programs, in whole or in part. The term "remuneration" has been interpreted broadly to include anything of value. The Anti-Kickback Statute has been interpreted to apply to arrangements between biotechnological industry members on one hand and prescribers, purchasers, formulary managers, and beneficiaries on the other. Several courts have interpreted the statute's intent requirement to mean that if any one purpose of an arrangement involving remuneration is to induce referrals of a federal healthcare covered business, including purchases of products paid by federal healthcare programs, the statute has been violated. A violation of the Anti-Kickback Statute may be established without proving actual knowledge of the statute or specific intent to violate it. The government or a whistleblower may assert that a claim for payment of items or services resulting from a violation of the Anti-Kickback Statute constitutes a false or fraudulent claim for purposes of the federal civil FCA. Although there are a number of statutory exemptions and regulatory safe harbors to the federal Anti-Kickback Statute protecting certain common business arrangements and activities from prosecution or regulatory sanctions, the exemptions and safe harbors are drawn narrowly. Practices that involve remuneration to those who prescribe, purchase, or recommend pharmaceutical and biological products, including certain discounts, or engaging such individuals as consultants, advisors, or speakers, may be subject to scrutiny if they do not fit squarely within an exemption or safe harbor. Our practices may not in all cases meet all of the criteria for safe harbor protection from anti-kickback liability. Moreover, there are no safe harbors for many common practices, such as educational and research grants, charitable donations, product support and patient assistance.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federal civil FCA prohibits, among other things, any person or entity from knowingly presenting, or causing to be presented, a false or fraudulent claim for payment of federal funds,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Actions under the False Claims Act may be brought by the federal government or as a qui tam action by a private individual in the name of the government. The civil FCA provides for treble damages and a civil penalty for each false claim, such as an invoice or pharmacy claim for reimbursement, which can aggregate into millions of dollars, and potential exclusion from federal health care programs.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civil monetary penalties statute is another potential statute under which biotechnological companies may be subject to enforcement. Among other things, the civil monetary penalties statue imposes fines against any person who is determined to have knowingly presented, or caused to be presented, claims to a federal healthcare program that the person knows, or should know, is for an item or service that was not provided as claimed or is false or fraudulent.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Payment or reimbursement of prescription therapeutics by Medicaid or Medicare requires the product's labeler to submit certified pricing information to CMS. The Medicaid Drug Rebate statute requires labelers, as a condition of payment by Medicaid, to calculate and report price points, which are used to determine Medicaid rebate payments shared between the states and the federal government and Medicaid payment rates for certain therapeutics, to pay quarterly rebates on prescriptions paid by Medicaid, and to provide a discount based on the Medicaid rebate percentage to certain hospitals and clinics under the 340B program. For most therapeutics paid under Medicare Part B, labelers must also calculate and report their Average Sales Price, which is used to determine the Medicare Part B payment rate. In addition, therapeutics covered by Medicaid are subject to an additional inflation penalty which can substantially increase rebate payments. For products approved under a BLA (including biosimilars) or an NDA, the Veterans Health Care Act ("VHCA") requires labelers, as a condition of payment by Medicaid, to calculate and report to the Veterans Administration ("VA") a different price called the Non-Federal AMP, which is used to determine the maximum price that can be charged to certain federal agencies, referred to as the Federal Ceiling Price ("FCP"). Like the Medicaid rebate amount, the FCP includes an inflation penalty. A Department of Defense statute and regulation requires labelers to provide this discount on therapeutics dispensed by retail pharmacies when paid by the TRICARE Program, the health care program for military personnel, retirees, and related beneficiaries. All of these price reporting requirements create risk of submitting false information to the government, and potential FCA liability.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VHCA also requires labelers of covered therapeutics participating in the Medicaid program to enter into Federal Supply Schedule contracts with the VA through which their covered therapeutics must be sold to certain federal agencies at FCP. This necessitates compliance with applicable federal procurement laws and regulations, including submission of commercial sales and pricing information, and subjects us to contractual remedies as well as administrative, civil, and criminal sanctions. In addition, the VHCA requires labelers participating in Medicaid to agree to provide different mandatory discounts to certain Public Health Service grantees and other safety net hospitals and clinics under the 340B program based on the labelers' reported Medicaid pricing information. The 340B program has its own regulatory authority to impose sanctions for non-compliance and adjudicate overcharge claims against labelers by the purchasing entities.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prohibits, among other actions, knowingly and willfully executing, or attempting to execute, a scheme to defraud any healthcare benefit program, including private third-party payors, and knowingly and willfully falsifying, concealing, or covering up a material fact or making any materially false statements or representations in connection with the delivery of, or payment for, healthcare benefits, items, or services relating to healthcare matters. The government need not establish actual knowledge of the statute, or the specific intent in order to prove a violation.</w:t>
      </w:r>
    </w:p>
    <w:p>
      <w:pPr>
        <w:spacing w:after="0" w:line="197"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The federal Physician Payment Sunshine Act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and certain other HCPs (such as physicians assistants and nurse practitioners), and ownership and investment interests held by physicians and their immediate family members.</w:t>
      </w:r>
    </w:p>
    <w:p>
      <w:pPr>
        <w:spacing w:after="0" w:line="208"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Further, we may be subject to data privacy and security regulation by both the federal government and the states in which we conduct our business. HIPAA, as amended by the Health Information Technology for Economic and Clinical Health Act ("HITECH") and its respective implementing regulations imposes certain requirements on covered entities and their business associates – certain persons or entities that create, receive, maintain, or transmit health information in connection with providing a specified service or performing a function on behalf of a covered entity – relating to the privacy, security, and transmission of certain individually identifiable health information, known as protected health information. In addition, other federal and state laws may govern the privacy and security of health and other information in certain circumstances, many of which differ from each other in significant ways and may not be preempted by HIPAA, thus complicating compliance efforts.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Any failure by us or any of our third-party service providers to follow such laws could result in significant liability or reputational harm under such state and federal privacy and other laws. The landscape of federal and state laws regulating personal data is constantly evolving, and compliance with these laws requires a flexible privacy framework and substantial resources, and compliance efforts will likely be an increasing and substantial cost in the future.</w:t>
      </w:r>
    </w:p>
    <w:p>
      <w:pPr>
        <w:spacing w:after="0" w:line="20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Many states have also adopted laws similar to each of the above federal laws, which may be broader in scope and apply to items or services reimbursed by any third-party payor, including commercial insurers. Certain state laws also regulate sponsors' use of prescriber-identifiable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companies to track and report information related to payments, gifts, and other items of value to physicians and other healthcare providers. Other state laws and local ordinances require identification or licensing of sales representatives.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Recently, states have enacted or are considering legislation intended to make drug prices more transparent and deter significant price increases, typically as consumer protection laws. These laws may affect our future sales, marketing, and other promotional activities by imposing administrative and compliance burdens.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or regulations described above or any other applicable laws, we may be subject to penalties or other enforcement actions, including significant criminal, civil, and administrative monetary penalties, damages, fines, disgorgement, imprisonment, exclusion from participation in government healthcare programs, corporate integrity agreements, suspension and debarment from government contracts, and refusal of orders under existing government contracts, reputational harm, diminished profits and future earnings, and the curtailment or restructuring of our operations, any of which could adversely affect our ability to operate our business and our results of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commercial success of our product candidates and our ability to commercialize any approved product candidates successfully will depend in part on the extent to which governmental payor programs at the federal and state levels, including Medicare and Medicaid, private health insurers, and other third-party payors provide coverage for and establish adequate reimbursement levels for our product candidates. Government authorities, private health insurers, and other organizations generally decide which therapeutics they will pay for and establish reimbursement levels for healthcare. Medicare is a federally funded program managed by CMS through local fiscal intermediaries and carriers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restrict coverage to therapeutics on the state Preferred Drug List. Similarly, government laws and regulations establish the parameters for coverage of prescription therapeutics by health plans participating in state exchanges and TRICARE. Some states have also created pharmacy assistance programs for individuals who do not qualify for federal programs. In the United States, private health insurers and other third-party payors often provide reimbursement for products and services based on the level at which the government provides reimbursement through the Medicare or Medicaid programs for such products and services.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the EU, and other potentially significant markets for our product candidates, government authorities and third-party payors are increasingly attempting to limit or regulate the price of medical products and services, particularly for new and innovative products and therapies, which often has resulted in average selling prices lower than they would otherwise be and sometimes at or below the provider's acquisition cost. In the United States, it is also common for government and private health plans to use coverage determinations to leverage rebates from labelers in order to reduce the plans' net costs. These restrictions and limitations influence the purchase of healthcare services and products and lower the realization on labelers' sales of prescription therapeutics. Third-party payors are developing increasingly sophisticated methods of controlling healthcare costs. Third-party payors may limit coverage to specific therapeutic products on an approved list, or formulary, which might not include all of the FDA approved products for a particular indication or might impose high copayment amounts to influence patient choice. Third-party payors also control costs by requiring prior authorization or imposing other dispensing restrictions before covering certain products and by broadening therapeutic classes to increase competition. Third-party payors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are increasingly challenging the price and examining the medical necessity and cost-effectiveness of medical products and services, in addition to their safety and efficacy. Absent clinical differentiators, third-party payors may treat products as therapeutically equivalent and base formulary decisions on net cost. To lower the prescription cost, labelers frequently rebate a portion of the prescription price to the third-party payors. Recently, purchasers and third-party payors have begun to focus on value of new therapeutics and sought agreements in which price is based on achievement of performance metrics.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Private payors often rely on the lead of the governmental payors in rendering coverage and reimbursement determinations. Therefore, achieving favorable Medicare coverage and reimbursement is usually a significant gating issue for successful introduction of a new product. In addition, many government programs as a condition of participation mandate fixed discounts or rebates from labelers regardless of formulary position or utilization, and then rely on competition in the market to attain further price reductions, which can greatly reduce realization on the sale.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the increased emphasis on managed healthcare in the United States and on country and regional pricing and reimbursement controls in the EU will put additional pressure on product pricing, reimbursement, and utilization, which may adversely affect our future product sales and results of operations. These pressures can arise from rules and practices of managed care groups, competition within therapeutic classes, judicial decisions and governmental laws and regulations related to Medicare, Medicaid, and healthcare reform, biotechnological coverage and reimbursement policies, and pricing in general. Patients who are prescribed treatments for their conditions and providers performing the prescribed services generally rely on third-party payors to reimburse all or part of the associated healthcare costs. Sales of our product candidates will therefore depend substantially, both domestically and internationally, on the extent to which the costs of our product candidates, if approved, will be paid by health maintenance, managed care, pharmacy benefit, and similar healthcare management organizations, or reimbursed by government health administration authorities, such as Medicare and Medicaid, private health insurers, and other third-party payors.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above, we may need to conduct expensive pharmacoeconomic studies in order to demonstrate the medical necessity and cost-effectiveness of our product candidates, if approved, in addition to the costs required to obtain FDA approvals. Our product candidates may not be considered medically necessary or cost-effective, or the rebate percentages required to secure coverage may not yield an adequate margin over cost. Additionally, companies are increasingly finding it necessary to establish bridge programs to assist patients with access to new therapies during protracted initial coverage determination periods.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a payor's decision to provide coverage for a product does not imply that an adequate reimbursement rate will be approved or that significant price concessions will not be required to avoid restrictive conditions. High health plan copayment requirements may result in patients refusing prescriptions or seeking alternative therapies. Additionally, where a new indication has been approved for a drug or biologic previously approved under a different NDA or BLA, health plans may cover off-label use of the original drug, even if it cannot be marketed for the new indication. Adequate third-party reimbursement may not be available to enable us to maintain price levels sufficient to realize an appropriate return on our investment in therapeutic development. Legislative action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The U.S.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products.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recent years, Congress has considered reductions in Medicare reimbursement levels for products administered by physicians. CMS, the agency that administers the Medicare and Medicaid programs, also has authority to revise reimbursement rates and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implement coverage restrictions for some products.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ACA expanded manufacturers' rebate liability under the MDRP by increasing the minimum Medicaid rebate for both branded and generic products, expanded the 340B program, and revised the definition of AMP, which could increase the amount of Medicaid rebates manufacturers are required to pay to states. The legislation also extended Medicaid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products. CMS has issued final regulations to implement the changes to the MDRP and other changes under the ACA. Since that time, there have been significant ongoing efforts to modify or eliminate the ACA. For example, the Tax Cuts and Job Act of 2017, repealed the shared responsibility payment for individuals who fail to maintain minimum essential coverage under section 5000A of the Internal Revenue Code of 1986, as amended, or the Code, commonly referred to as the individual mandate.</w:t>
      </w:r>
    </w:p>
    <w:p>
      <w:pPr>
        <w:spacing w:after="0" w:line="20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passage of the ACA.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2.0% per fiscal year, which went into effect in April 2013. Subsequent legislation extended sequestration to 2031. Sequestration is currently set at 2% and will increase to 2.25% for the first half of fiscal year 2030, to 3% for the second half of fiscal year 2030, and to 4% for the remainder of the sequestration period that lasts through the first six months of fiscal year 2031. The American Taxpayer Relief Act among other things, reduced Medicare payments to several types of providers, including hospitals, imaging centers, and cancer treatment centers, and increased the statute of limitations period for the government to recover overpayments to providers from three to five years. The Inflation Reduction Act of 2022 (the "IRA") contains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the establishment of rebate payment requirements on manufacturers of certain drugs payable under Medicare Parts B and D to penalize price increases that outpace inflation, and requires manufacturers to provide discounts on Part D drugs. Substantial penalties can be assessed for noncompliance with the drug pricing provisions in the IRA. The IRA could have the effect of reducing the prices we can charge and reimbursement we receive for our products, if approved, thereby reducing our profitability, and could have a material adverse effect on our financial condition, results of operations, and growth prospects. The effects of the IRA on our business and the pharmaceutical industry in general is not yet known.</w:t>
      </w:r>
    </w:p>
    <w:p>
      <w:pPr>
        <w:spacing w:after="0" w:line="213" w:lineRule="exact"/>
        <w:rPr>
          <w:sz w:val="20"/>
          <w:szCs w:val="20"/>
          <w:color w:val="auto"/>
        </w:rPr>
      </w:pPr>
    </w:p>
    <w:p>
      <w:pPr>
        <w:jc w:val="both"/>
        <w:ind w:right="240"/>
        <w:spacing w:after="0" w:line="242" w:lineRule="auto"/>
        <w:rPr>
          <w:sz w:val="20"/>
          <w:szCs w:val="20"/>
          <w:color w:val="auto"/>
        </w:rPr>
      </w:pPr>
      <w:r>
        <w:rPr>
          <w:rFonts w:ascii="Times New Roman" w:cs="Times New Roman" w:eastAsia="Times New Roman" w:hAnsi="Times New Roman"/>
          <w:sz w:val="18"/>
          <w:szCs w:val="18"/>
          <w:color w:val="auto"/>
        </w:rPr>
        <w:t>In addition, legislation and regulatory actions have created certain price reporting obligations under the MDRP and 340B Program. Under the MDRP, a manufacturer is required to pay a rebate to each state Medicaid program for its covered outpatient drugs that are dispensed to Medicaid beneficiaries and paid for by a state Medicaid program as a condition of having federal funds made available to states for its drugs under Medicaid and Medicare Part B.</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Those rebates are based on pricing data that manufacturers report on a monthly and quarterly basis to CMS, the federal agency that administers Medicare and Medicaid. A manufacturer that becomes aware that its Medicaid reporting for a prior quarter was incorrect, or has changed as a result of recalculation of the pricing data, is obligated to resubmit the corrected data for up to three years after those data originally were due, which revisions could affect rebate liability for prior quarters. If a manufacturer fails to pay the required rebate amount or report pricing data on a timely basis, it may be subject to civil monetary penalties and/or termination of its Medicaid Drug Rebate program agreement, in which case federal payments may not be available under Medicaid or Medicare Part B for its covered outpatient drugs. Federal law requires that any manufacturer that participates in the Medicaid Drug Rebate Program also participate in the 340B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If a manufacturer is found to have knowingly and intentionally charged 340B covered entities more than the statutorily mandated ceiling price, it could be subject to significant civil monetary penalties and/or such failure also could be grounds for HRSA to terminate its agreement to participate in the 340B program, in which case its covered outpatient drugs would no longer be eligible for federal payment under the Medicaid or Medicare Part B program.</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changes to the ACA, the IRA, and the Medicare and Medicaid programs, additional changes allowing the federal government to directly negotiate prices and changes stemming from other healthcare reform measures, especially with regard to healthcare access or financing or legislation in individual states, could have a material adverse effect on our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Foreign Corrupt Practices Act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suspension and debarment from government contracts, and refusal of orders under existing government contracts. Enforcement actions may be brought by the Department of Justice or the Securities and Exchange Commission ("SEC"), and legislation has expanded the SEC's power to seek disgorgement in all FCPA cases filed in federal court and extended the statute of limitations in the SEC enforcement actions in intent-based claims such as those under FCPA from five years to ten years.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Outside of the United States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regulations in the U.S., we may be subject to a variety of regulations in foreign jurisdictions that govern, among other things, clinical trials and any commercial sales and distribution of our product candidates, if approved, either directly or through our distribution partners. Whether or not we obtain FDA approval for a product candidate, we must obtain the requisite approvals from regulatory authorities in foreign jurisdictions prior to the commencement of clinical trials or marketing and sale of the product in those countries. The foreign regulatory approval process includes all of the risks associated with the FDA approval process described above, and the time required to obtain approval in other countries and jurisdictions might differ from and be longer than that required to obtain FDA approval. Requirements governing the conduct of clinical trials, product approval, pricing, and reimbursement vary from country to country. Regulatory approval in one country or jurisdiction does not ensure regulatory approval in another, but a failure or delay in obtaining regulatory approval in one country or jurisdiction may negatively impact the regulatory process in other countries. Moreover, some nations may not accept clinical studies performed for U.S. approval to support approval in their countries or require that additional studies be performed on natives of their countries. In addition, in certain foreign markets, the pricing of drug products is subject to government control and reimbursement may in some cases be unavailable or insufficient. Resulting prices could be insufficient to generate an acceptable return to us or any future partner of ours. If we fail to comply with applicable foreign regulatory requirements, we may be subject to, among other things, fines, suspension or withdrawal of regulatory approvals, product recalls, seizure of products, operating restrictions, and criminal prosecution</w:t>
      </w:r>
      <w:r>
        <w:rPr>
          <w:rFonts w:ascii="Times New Roman" w:cs="Times New Roman" w:eastAsia="Times New Roman" w:hAnsi="Times New Roman"/>
          <w:sz w:val="19"/>
          <w:szCs w:val="19"/>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10, 2024, we had 65 employees, of which 58 employees are located in the United States and 7 are located in India. The majority of the employees were full-time. None of our employees are represented by a labor union or covered by a collective bargaining agreement. In addition to our employees, we engage various consultants to support key areas of our business, including support of our research and development, administrative, manufacturing, and commercialization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human capital is critical to the success of our mission to deliver new options for people facing serious disease and conditions. We consider the performance, skills, and intellectual capital of our employees to be an essential driver of this mission and a key to our future prospects. As such, we emphasize a number of measures and objectives in attracting, retaining,</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developing our human capital, including, among others, employee safety, wellness, engagement, development, diversity and inclusion, and compensation and pay equity. In our employee recruitment process, we adhere to equal employment opportunity policies. We are committed to include diverse candidates in any pool of candidates from which employees are chosen. Additionally, we recognize that our employees perform best when they know how their work contributes to our overall strategy. To achieve this, we emphasize open and direct communication through the use of a variety of channels, including company-wide business updates and written communications from the leadership team.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programs are designed to align our employees' interests with our achievement of our primary business goals. The salaries, bonuses, and opportunities for equity ownership provided to our employees are competitive within our industry and we engage outside compensation and benefits consulting firms to independently evaluate the effectiveness of our compensation and benefit programs and to provide benchmarking against our peers within the industry. The benefit options we provide are comprehensive and allow our employees and their families to live healthier and more secure lives. All full-time employees are eligible for medical, dental, and vision insurance, paid time off, a 401(k) plan, and group life and disability coverage.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Development and Leadership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development of our employees is critical to our success. We believe that continued learning and development is an essential part to retaining our employees and creating a culture of learning and leadership. We encourage employees to participate and to take advantage of a variety of learning and development resources, including online skills courses, professional development events, and internal and external training programs based on individual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employee brings diverse perspectives, backgrounds, and thinking styles, and, by embracing and celebrating these differences, we strengthen our culture and further our mission. We are committed to preserving and further cultivating our diverse and inclusive workforce, including with respect to our leadership team and our Board of Directors ("Board"), to ensure an environment where employees feel empowered to achieve their fullest potential. Our current Board composition represents a deliberate mix of members who have a deep understanding of our business, as well as members who have different skill sets and points of view. In addition, we are in compliance with the listing requirements of The Nasdaq Stock Market LLC ("Nasdaq") which requires a public company to have two diverse directors serve on the board, including at least one diverse director who self-identifies as female and at least one diverse director who self-identifies as an underrepresented minority or LGBTQ+.</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proud of the fact that our team includes 69% of employees in ethnic and racial minority groups and also that 43% of our employees are women, both as self-disclosed. We continue to focus on expanding our commitment to diversity and inclusion across our entire workforce, including working with managers to develop strategies for building diverse teams and promoting the advancement of employees from diverse backgrounds.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guided by a commitment to accountability, respect, collaboration, and inclusivity. These principles drive the values of our employees and agents that enable us to propel the future of medical science. These values include:</w:t>
      </w:r>
    </w:p>
    <w:p>
      <w:pPr>
        <w:spacing w:after="0" w:line="16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Respect </w:t>
      </w:r>
      <w:r>
        <w:rPr>
          <w:rFonts w:ascii="Times New Roman" w:cs="Times New Roman" w:eastAsia="Times New Roman" w:hAnsi="Times New Roman"/>
          <w:sz w:val="18"/>
          <w:szCs w:val="18"/>
          <w:color w:val="auto"/>
        </w:rPr>
        <w:t>— Acknowledging individual talents and understanding success requires diversity.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Integrity </w:t>
      </w:r>
      <w:r>
        <w:rPr>
          <w:rFonts w:ascii="Times New Roman" w:cs="Times New Roman" w:eastAsia="Times New Roman" w:hAnsi="Times New Roman"/>
          <w:sz w:val="18"/>
          <w:szCs w:val="18"/>
          <w:color w:val="auto"/>
        </w:rPr>
        <w:t>— An unwavering commitment to do what is right.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Teamwork </w:t>
      </w:r>
      <w:r>
        <w:rPr>
          <w:rFonts w:ascii="Times New Roman" w:cs="Times New Roman" w:eastAsia="Times New Roman" w:hAnsi="Times New Roman"/>
          <w:sz w:val="18"/>
          <w:szCs w:val="18"/>
          <w:color w:val="auto"/>
        </w:rPr>
        <w:t>— Collaboratively arriving at solutions so our people, patients, and shareholders benefit.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Accountability </w:t>
      </w:r>
      <w:r>
        <w:rPr>
          <w:rFonts w:ascii="Times New Roman" w:cs="Times New Roman" w:eastAsia="Times New Roman" w:hAnsi="Times New Roman"/>
          <w:sz w:val="18"/>
          <w:szCs w:val="18"/>
          <w:color w:val="auto"/>
        </w:rPr>
        <w:t>— Taking ownership of key deliverables.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were originally incorporated as a Massachusetts corporation in 2000 under the name Histogenics Corporation ("Histogenics") and underwent a corporate reorganization in 2006, pursuant to which we were reincorporated as a Delaware corporation. On September 27, 2019, we completed a reverse merger (the "Merger") with Ocugen OpCo, Inc. ("OpCo") in accordance with the terms of the Agreement and Plan of Merger and Reorganization, dated as of April 5, 2019, by and among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OpCo, Restore Merger Sub, Inc., our wholly owned subsidiary ("Merger Sub"), and us, as amended, pursuant to which Merger Sub merged with and into OpCo, with OpCo surviving as our wholly owned subsidiary. Immediately after the completion of the Merger, we changed our name to Ocugen, Inc. and the business previously conducted by OpCo became the business conducted by us. Our common stock trades on The Nasdaq Capital Market ("Nasdaq") under the symbol “OCGN.”</w:t>
      </w:r>
    </w:p>
    <w:p>
      <w:pPr>
        <w:spacing w:after="0" w:line="193" w:lineRule="exact"/>
        <w:rPr>
          <w:sz w:val="20"/>
          <w:szCs w:val="20"/>
          <w:color w:val="auto"/>
        </w:rPr>
      </w:pPr>
    </w:p>
    <w:p>
      <w:pPr>
        <w:jc w:val="both"/>
        <w:ind w:right="560"/>
        <w:spacing w:after="0" w:line="245" w:lineRule="auto"/>
        <w:rPr>
          <w:sz w:val="20"/>
          <w:szCs w:val="20"/>
          <w:color w:val="auto"/>
        </w:rPr>
      </w:pPr>
      <w:r>
        <w:rPr>
          <w:rFonts w:ascii="Times New Roman" w:cs="Times New Roman" w:eastAsia="Times New Roman" w:hAnsi="Times New Roman"/>
          <w:sz w:val="18"/>
          <w:szCs w:val="18"/>
          <w:color w:val="auto"/>
        </w:rPr>
        <w:t>Our principal office is located at 11 Great Valley Parkway, Malvern, Pennsylvania 19355, and our telephone number is (484) 328-4701. Our website address is www.ocugen.com. Our website and the information contained on, or that can be accessed through, our website shall not be deemed to be incorporated by reference in, and is not considered part of this Annual Report. You should not rely on any such information in making your decision whether to purchase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 under the Securities Exchange Act of 1934, as amended (the "Exchange Act"). The SEC maintains an internet website, www.sec.gov, that contains reports, proxy, and information statements, and other information regarding issuers, including us, that file electronically with the SEC. Copies of each of our filings with the SEC on Form 10-K, Form 10-Q, and Form 8-K and amendments to those reports, can be viewed and downloaded free of charge at our website, www.ocugen.com, as soon as reasonably practicable after the reports and amendments are electronically filed with or furnished to the SEC. Our website and the information contained on, or that can be accessed through, our website shall not be deemed to be incorporated by reference in, and is not considered part of this Annual Report on Form 10-K.</w:t>
      </w:r>
    </w:p>
    <w:p>
      <w:pPr>
        <w:spacing w:after="0" w:line="20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 copy of our Corporate Governance Guidelines, Code of Business Conduct and Ethics and the charters of the Audit Committee, Compensation Committee and Nominating and Corporate Governance Committee are posted on our website, www.ocugen.com, under “Investors”. Any amendments to Code of Business Conduct and Ethics are also being posted on our website, www.ocugen.com, under “Investors”.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Careful consideration should be given to the following risk factors, together with all other information set forth in this Annual Report on Form 10-K (“Annual Report”), including our consolidated financial statements and related notes, and “Management’s Discussion and Analysis of Financial Condition and Results of Operations,” and in other documents that we file with the Securities and Exchange Commission (the “SEC”), in evaluating Ocugen, Inc. and our subsidiaries (collectively, the “Company”, “we”, or “our”) and our business, before investing in our common stock. Investing in our common stock involves a high degree of risk. If any of the following risks and uncertainties actually occurs, our business, prospects, financial condition and results of operations could be materially and adversely affected. The market price of our common stock could decline if one or more of these risks or uncertainties were to occur, which may cause you to lose all or part of the money you paid to buy our common stock. The risk factors described below disclose both material and other risks, and are not intended to be exhaustive and are not the only risks facing the Company. New risk factors can emerge from time to time, and it is not possible to predict the impact that any factor or combination of factors may have on our business, prospects, financial condition and results of operations. Certain statements below are forward-looking statements. See “Special Note Regarding Forward-Looking Statements” in this Annual Report.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in this section of this Annual Report on Form 10-K. These risks and uncertainties include, but are not limited to, the following:</w:t>
      </w:r>
    </w:p>
    <w:p>
      <w:pPr>
        <w:spacing w:after="0" w:line="54" w:lineRule="exact"/>
        <w:rPr>
          <w:sz w:val="20"/>
          <w:szCs w:val="20"/>
          <w:color w:val="auto"/>
        </w:rPr>
      </w:pPr>
    </w:p>
    <w:p>
      <w:pPr>
        <w:jc w:val="both"/>
        <w:ind w:left="660" w:hanging="328"/>
        <w:spacing w:after="0" w:line="25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absent obtaining significant additional funding.</w:t>
      </w:r>
    </w:p>
    <w:p>
      <w:pPr>
        <w:spacing w:after="0" w:line="23"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w:t>
      </w:r>
    </w:p>
    <w:p>
      <w:pPr>
        <w:spacing w:after="0" w:line="24" w:lineRule="exact"/>
        <w:rPr>
          <w:rFonts w:ascii="Arial" w:cs="Arial" w:eastAsia="Arial" w:hAnsi="Arial"/>
          <w:sz w:val="22"/>
          <w:szCs w:val="22"/>
          <w:color w:val="auto"/>
        </w:rPr>
      </w:pPr>
    </w:p>
    <w:p>
      <w:pPr>
        <w:jc w:val="both"/>
        <w:ind w:left="660" w:hanging="328"/>
        <w:spacing w:after="0" w:line="244"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We will need additional capital in order to enable us to successfully develop our product candidates, and such funding may not be available on acceptable terms, or at all. Raising additional capital may cause dilution to stockholders, restrict our operations, or require us to relinquish rights to our technologies or product candidates.</w:t>
      </w:r>
    </w:p>
    <w:p>
      <w:pPr>
        <w:spacing w:after="0" w:line="23"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We are substantially dependent on the success of our product candidates. We cannot guarantee that our product candidates will successfully complete development, receive regulatory approval, or be successfully commercialized.</w:t>
      </w:r>
    </w:p>
    <w:p>
      <w:pPr>
        <w:spacing w:after="0" w:line="24"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Our product candidates generated from our modifier gene therapy platform are based on a novel technology and face an uncertain regulatory environment, which makes it difficult to predict the time and cost of product candidate development and subsequently obtaining regulatory approval.</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If we experience delays or difficulties in the enrollment of patients in clinical trials, our completion of clinical trials and receipt of necessary regulatory approvals could be delayed or prevented.</w:t>
      </w:r>
    </w:p>
    <w:p>
      <w:pPr>
        <w:spacing w:after="0" w:line="24"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We have no prior experience in the marketing, sale, and distribution of biotechnology products and there can be no assurance that our product candidates, if approved, will be successfully commercialized.</w:t>
      </w:r>
    </w:p>
    <w:p>
      <w:pPr>
        <w:spacing w:after="0" w:line="24" w:lineRule="exact"/>
        <w:rPr>
          <w:rFonts w:ascii="Arial" w:cs="Arial" w:eastAsia="Arial" w:hAnsi="Arial"/>
          <w:sz w:val="22"/>
          <w:szCs w:val="22"/>
          <w:color w:val="auto"/>
        </w:rPr>
      </w:pPr>
    </w:p>
    <w:p>
      <w:pPr>
        <w:ind w:left="660" w:right="20" w:hanging="328"/>
        <w:spacing w:after="0" w:line="242"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22"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If third-party payors do not reimburse patients for our products candidates, if approved, or if reimbursement levels are set too low for us to sell our product candidates at a profit, our ability to successfully commercialize our product candidates, if approved, and our results of operations will be harmed.</w:t>
      </w:r>
    </w:p>
    <w:p>
      <w:pPr>
        <w:spacing w:after="0" w:line="24"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We rely, and expect to continue to rely, on third parties to conduct, supervise, and monitor our preclinical studies and clinical trials we may initiate, and those third parties may not perform satisfactorily, including failing to meet deadlines for the completion of such trials or failing to comply with regulatory requirements.</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If we encounter difficulties in negotiating commercial manufacturing and supply agreements with third-party manufacturers and suppliers of our product candidates or any product components, our ability to commercialize our product candidates, if approved, would be impaired.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239"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If the manufacturers upon whom we rely fail to produce our product candidates or product components pursuant to the terms of contractual arrangements with us or fail to comply with stringent regulations applicable to biotechnology manufacturers, we may face delays in the development and commercialization of, or be unable to meet demand for, our product candidates, if approved, and may lose potential revenues.</w:t>
      </w:r>
    </w:p>
    <w:p>
      <w:pPr>
        <w:spacing w:after="0" w:line="24"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may seek to collaborate with third parties for the development or commercialization of our product candidates. We may not be successful in establishing or maintaining collaborative relationships, any of which could adversely affect our ability to develop and commercialize our product candidates.</w:t>
      </w:r>
    </w:p>
    <w:p>
      <w:pPr>
        <w:spacing w:after="0" w:line="24" w:lineRule="exact"/>
        <w:rPr>
          <w:rFonts w:ascii="Arial" w:cs="Arial" w:eastAsia="Arial" w:hAnsi="Arial"/>
          <w:sz w:val="22"/>
          <w:szCs w:val="22"/>
          <w:color w:val="auto"/>
        </w:rPr>
      </w:pPr>
    </w:p>
    <w:p>
      <w:pPr>
        <w:jc w:val="both"/>
        <w:ind w:left="660" w:hanging="328"/>
        <w:spacing w:after="0" w:line="244"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unable to obtain and maintain patent protection for our technology and product candidates, or the scope of the patent protection obtained may not be sufficiently broad or enforceable, such that our competitors could develop and commercialize technology and products similar or identical to ours, and our ability to successfully commercialize our technology and product candidates may be impaired.</w:t>
      </w:r>
    </w:p>
    <w:p>
      <w:pPr>
        <w:spacing w:after="0" w:line="23"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may become involved in lawsuits to protect or enforce our patents or other intellectual property, which could be expensive, time-consuming, and unsuccessful.</w:t>
      </w:r>
    </w:p>
    <w:p>
      <w:pPr>
        <w:spacing w:after="0" w:line="24"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Certain aspects of our product candidates are protected by patents exclusively licensed from other companies or institutions. If these third parties terminate their agreements with us or fail to maintain or enforce the underlying patents or licenses thereto, or we otherwise lose our rights to these patents, our competitive position and our market share in the markets for any of our approved products will be harmed.</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Provisions in our charter documents and under Delaware law could discourage a takeover that stockholders may consider favorable and may lead to entrenchment of management.</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The trading price of the shares of our common stock could be highly volatile, and purchasers of our common stock could incur substantial losses.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future success depends on our ability to retain key executives and to attract, retain, and motivate qualified personnel.</w:t>
      </w:r>
    </w:p>
    <w:p>
      <w:pPr>
        <w:spacing w:after="0" w:line="14" w:lineRule="exact"/>
        <w:rPr>
          <w:rFonts w:ascii="Arial" w:cs="Arial" w:eastAsia="Arial" w:hAnsi="Arial"/>
          <w:sz w:val="22"/>
          <w:szCs w:val="22"/>
          <w:color w:val="auto"/>
        </w:rPr>
      </w:pP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absent obtaining significant additional funding.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may continue to incur net losses in the future. Our recurring losses from operations raise substantial doubt about our ability to continue as a going concern for the next 12 months from the date of the consolidated financial statements included in this Annual Report on Form 10-K are issued. As a result, our independent public accounting firm included an explanatory paragraph regarding the same in its report on this Annual Report on Form 10-K. Substantial doubt about our ability to continue as a going concern may create negative reactions to the price of our common stock and we may have a more difficult time obtaining financing in the future as a result.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not generated significant revenue to date and have funded our operations to date through the sale of common stock, warrants to purchase common stock, the issuance of convertible notes and debt, and grant proceeds. We incurred net losses of approximately $63.1 million and $86.8 million for the years ended December 31, 2023 and 2022, respectively. As of December 31, 2023, we had an accumulated deficit of $286.2 million and a cash and cash equivalents balance of $39.5 million. This amount will not meet our capital requirements over the next 12 months. We estimate that our cash and cash equivalents will enable us to fund our operations into the fourth quarter of 2024. Based on this estimate, we will need to raise significant additional capital in order to fund our future operations. We have based this estimate on assumptions that may prove to be wrong, and our operating and capital requirements may change as a result of many factors currently unknown to us.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be able to raise sufficient additional capital on acceptable terms or at all. If such additional financing is not available on satisfactory terms,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In addition, economic circumstances outside of our control such as a recession or depression and inflation may reduce our ability to access capital, which could negatively affect our liquidity and ability to continue as a going concern. Further, the perception that we may not be able to continue as a going concern may cause others to choose not to do business with us due to concerns about our ability to meet our contractual obligations.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revenues from the sale of products, and absent the realization of sufficient revenues from product sales, if any, of our current or future product candidates, we may never attain profitability in the future. To date, we have devoted substantially all of our financial resources and efforts to research and development, including preclinical and clinical studies. We may continue to incur losses from operations in the next several years as we increase our expenditures in research and development in connection with our ongoing and planned clinical trials and other development and pre-commercialization activities. Even if we obtain a regulatory approval to market a product candidate, our future revenues will depend upon the size of any markets in which our product candidates have received such approval, and our ability to achieve sufficient market acceptance, reimbursement from third-party payors, and adequate market share for our products in those markets.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anticipate that our expenses will decrease in fiscal year 2024 as compared to fiscal year 2023 due to a reduced headcount, lower legal expenses, as well as internal cost savings initiatives.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inherently unpredictable nature of preclinical and clinical development and the numerous risks and uncertainties associated with such activities, we are unable to predict with any certainty the nature or amounts of the costs we will incur, the timelines we will require in our continued development efforts or the timing, or if, we will be able to achieve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our expenses will also increase if, and, as we:</w:t>
      </w:r>
    </w:p>
    <w:p>
      <w:pPr>
        <w:spacing w:after="0" w:line="117"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that we may pursue in the future, particularly if there are any delays in enrollment of patients in or completing our clinical trials or the development of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capabilities for our product candidates for which we obtain a regulatory approval;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to support our clinical trials of our product candidates and commercialization of any of our product candidates for which we obtain a regulatory approval;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other companies, products, product candidates, or technologies, or in-license the rights to other products, product candidates, or technologies;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We do not expect to generate revenue that is sufficient to achieve profitability unless and until we obtain marketing approval for and commercialize one of our product candidates and even if we obtain marketing approval for and commercialize one of our product candidates, we may never become profitable. Our product candidates are in various stages of preclinical and clinical development or pre-commercialization, and it is unknown whether our near-term efforts to obtain regulatory approval or commercial sales may be successful or whether additional preclinical, clinical, or manufacturing data may be needed before we obtain regulatory approval for any candidate. Even if we do achieve profitability, we may not be able to sustain or increase profitability on a quarterly or annual basis. Our failure to become profitable or inability to remain profitable would decrease the value of our company and could impair our ability to raise capital, expand our business, maintain our research and development efforts, continue or undertake commercialization efforts, diversify our product offerings, or even continue our operations. A decline in the value of our company could also cause you to lose all or part of your investment.</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history of commercializing pharmaceutical products, which may make it difficult for you to evaluate the success of our business to date and to assess our future viability.</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biotechnology company and investment in biotechnological product development is a highly speculative endeavor. Biotechnology product development entails substantial upfront capital expenditures and there is significant risk that any potential product candidate will fail to demonstrate adequate efficacy or an acceptable safety profile, to gain any required regulatory approvals or to become commercially viable. To date, our operations have been limited to organizing and staffing our company, acquiring rights to intellectual property, business planning, raising capital, and developing our product candidates. We have not yet demonstrated an ability to obtain marketing approvals (only EUA), manufacture a commercial-scale product,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encountered, and will continue to encounter, risks and difficulties frequently experienced by growing companies in a rapidly developing and changing industry, such as the biotechnological industry, including challenges in forecasting accuracy, determining appropriate investments of our limited resources, gaining market acceptance of our products, if approved, managing a complex regulatory landscape, and developing new product candidates. Our current operating model may require changes in order for us to scale our operations efficiently. We will need to transition from a company with a research and development focus to a company capable of supporting commercial activities. We may not be successful in such a transition. You should consider our business and prospects in light of the risks and difficulties we face as a company focused on developing products in the fields of biopharmaceuticals and biotechnology.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devote substantial financial resources to our ongoing and planned product development activities, particularly as we continue the development of and seek EUA or marketing approval for our product candidates and any potential future product candidates, as applicable. As of December 31, 2023, we had cash and cash equivalents of approximately $39.5 million. This amount will not meet our capital requirements over the next 12 months. We estimate that our cash and cash equivalents will enable us to fund our operations into the fourth quarter of 2024. Based on this estimate, we will need to raise significant additional capital in order to fund our future operations. We have based this estimate on assumptions that may prove to be wrong, and our operating and capital requirements may change as a result of many factors currently unknown to us.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Conducting preclinical testing and clinical trials is a time-consuming, expensive, and uncertain process that takes years to complete. We cannot predict when we will be able to generate the necessary data or results required to obtain regulatory approval of products with the market potential sufficient to enable us to achieve profitability, if ever. Accordingly, we may need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obtain substantial additional funding in connection with our continuing operations. Our future capital requirements will depend on many factors, including:</w:t>
      </w:r>
    </w:p>
    <w:p>
      <w:pPr>
        <w:spacing w:after="0" w:line="5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the regulatory approval process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commercialization;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doing business internationally with respect to the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infrastructure to support our development, commercialization, and business efforts, including the costs related to the development of a laboratory and manufacturing facility;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recruiting and retaining skilled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product candidates, or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out-license our product candidates;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turmoil, macroeconomic conditions, social unrest, political instability, terrorism, or other acts of war.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Moreover, adequate additional financing may not be available to us on acceptable terms, or at all. If adequate funds are not available to us on a timely basis, we may be required to delay, limit, reduce, or terminate preclinical studies, clinical trials, or other development activities for one or more of our product candidates or delay, limit, reduce, or terminate our establishment of sales and marketing capabilities or other activities that may be necessary to commercialize our product candidates.</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18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candidates, our business, financial condition and results of operations could be materially adversely affected.</w:t>
      </w:r>
    </w:p>
    <w:p>
      <w:pPr>
        <w:spacing w:after="0" w:line="1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in order to enable us to successfully develop our product candidates, and such funding may not be available on acceptable terms, or at all. Raising additional capital may cause dilution to stockholders, restrict our operations, or require us to relinquish rights to our technologies or product candidates.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need additional capital in order to enable us to successfully develop and obtain authorization or approval for our product candidates. Such funding may not be available on acceptable terms, or at all. We expect to raise additional capital through public and private placements of equity and/or debt, payments from potential strategic research and development arrangements, sales of assets, government grants, licensing and/or collaboration arrangements with pharmaceutical companies or other institutions, funding from the government, or funding from other third parties. We also intend to work closely with government agencies to obtain funding for the development of our novel inhaled mucosal vaccine platform. In April 2023, the FDA announced the cancellation of emergency use authorizations ("EUA") issued to monovalent vaccines and the simplification of the vaccination schedule of bivalent vaccines that have EUAs in the United States, and in May 2023 the public health emergency ended. It is currently unclear what effect, if any, the planned cessation of the emergency declarations will have on our ability to obtain government funding to advance the development of our vaccine product candidates.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opportunistically pursuing vaccines development. In October 2023, the NIAID selected OCU500, a mucosal vaccine candidate specifically targeted to fight COVID-19, for inclusion in a Phase 1 trial comparing the administration of OCU500 via different mucosal routes—inhalation into the lungs or up the nose via a nasal spray.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licensing arrangements, or marketing and distribution arrangements, we may have to relinquish valuable rights to our technologies, future revenue streams, research programs or product candidates, or grant licenses on terms that may not be favorable to us. Such arrangements may require us to grant rights to develop and market products or product candidates that we would otherwise prefer to develop and market on our own.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has broad discretion in the use of the net proceeds from our capital raises, including our May 2023 public offering, and may not use these proceeds effectively.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has broad discretion in the application of the net proceeds from our capital raises (our “Capital Raises”), including our May 2023 public offering,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We have and may continue to invest the net proceeds from our Capital Raises in investment-grade, interest-bearing instruments and U.S. government agency securities and treasuries. These investments are not likely to yield a significant return. Our management might not apply our existing cash and cash equivalents in ways that ultimately increase the value of your investment. The failure by our management to apply these funds effectively could harm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future indebtedness may limit cash flow available to invest in the ongoing needs of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we had $2.5 million of outstanding principal borrowings under a Loan Agreement (the "EB-5 Loan Agreement") with EB5 Life Sciences, L.P. ("EB-5 Life Sciences"), which we are required to repay on the seventh anniversary of the date of the last disbursement under the EB-5 Loan Agreement (unless terminated earlier pursuant to the terms of the EB-5 Loan Agreement). Our obligations under the EB-5 Loan Agreement are secured by substantially all of our assets other than our intellectual property. We could in the future incur additional indebtedness beyond our borrowings under the EB-5 Loan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existing or future debt could have significant adverse consequences, including:</w:t>
      </w:r>
    </w:p>
    <w:p>
      <w:pPr>
        <w:spacing w:after="0" w:line="117" w:lineRule="exact"/>
        <w:rPr>
          <w:sz w:val="20"/>
          <w:szCs w:val="20"/>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cash flow from operations or cash on hand to the payment of interest on, and principal of, our debt, which will reduce the amounts available to fund working capital, capital expenditures, product development efforts, and other general corporate purposes;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market conditions;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that may reduce our ability to take certain corporate actions or obtain further debt or equity financing (for instance, the EB-5 Loan Agreement includes restrictive covenants related to, among other things, the disposition of our property, the incurrence by us of any additional indebtedness, and the creation by us of any liens or other encumbrances);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 and placing us at a competitive disadvantage compared to our competitors that have less debt or better debt servicing options.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failure to comply with the covenants under the EB-5 Loan Agreement, including covenants to take or avoid specific actions as set forth above, could result in an event of default and acceleration of amounts due. If an event of default occurs and EB-5 Life Sciences accelerates the amounts due under the EB-5 Loan Agreement, we may not be able to make accelerated payments, and EB-5 Life Sciences could seek to enforce security interests in the collateral securing such indebtedness.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satisfy our current and future debt service obligations, we will be required to raise funds from external sources. We may be unable to arrange for additional financing to pay the amounts due under our existing debt. Funds from external sources may not be available on acceptable terms, if at all. Our failure to satisfy our current and future debt obligations could adversely affect our financial condition and results of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tax net operating losses is uncertain.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significant net operating losses since our inception. As of December 31, 2023, we had U.S. federal net operating loss carryforwards of approximately $226.2 million. Our ability to utilize these net operating losses to offset future tax liabilities depends on the successful development of our product candidates and future financial performance.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our net operating losses may be subject to Section 382 of the Internal Revenue Code of 1986, as amended ("Section 382"). Generally, if an ownership change occurs within three years of the closing date of an entity's most recent change in control transaction, any existing net operating losses and certain built-in losses would be subject to an additional limitation, pursuant to Section 382. Change in control as defined by Section 382 occurs when there is an ownership change among stockholders owning directly or indirectly 5% or more of our common stock, as well as an aggregate ownership change with respect to such stockholders of more than 50% of our common stock. We have not yet conducted a comprehensive study to assess whether a change of ownership as defined by Section 382 has occurred since our inception. If it is determined that we are unable to use our net operating losses to reduce future tax liabilities, our financial condition, results of operations, and cash flows may be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future changes in tax legislation or exposure to additional tax liabilities that may adversely affect our financial condition, results of operations, and cash flows.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taxes in the United States as well as the foreign jurisdictions where our subsidiaries are organized. Due to economic and political conditions, tax rates, tax laws, and other non-tax legislation, we may experience significant impacts as a result of prospective changes. Our future effective tax rates may be affected by changes in the valuation of deferred tax assets and liabilities, changes in available tax credits or tax deductions, as well as changes in tax law and other non-tax laws, or their interpretation.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tax returns and other tax matters are subject to examination by applicable tax authorities and governmental bodies. We regularly assess the likelihood of an adverse outcome resulting from examination, in order to determine any resulting impact to our provision for income taxes or deferred tax balances. There can be no assurance as to the outcome of these examinations. As such, if we were to sustain an adjustment as a result of a tax examination in excess of amounts previously accrued, our financial condition could be adversely affected.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Development of Our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 candidates. We cannot guarantee that our product candidates will successfully complete development, receive regulatory approval, or be successfully commercialized.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invested a significant portion of our efforts and financial resources in the development of our product candidates. We currently have no products authorized or approved for which we have successfully commercially distributed, and we have not generated revenues from sales of any products. Our business and our ability to generate revenues in the near term depends entirely on the successful development, approval, and commercialization of our product candidates, which may never occur. If the results or timing of regulatory filings, the regulatory process, regulatory developments, clinical trials or preclinical studies, or other activities, actions, or decisions related to our product candidates do not meet our or others' expectations, the market price of our common stock could decline significantly.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or unacceptable adverse events or failure to demonstrate efficacy in clinical trials. Further, our product candidates may not receive regulatory approval even if they are successful in clinical trials, and our product candidates may not be successfully commercialized even if they receive regulatory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are in various stages of development ranging from preclinical development to pre-commercialization.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success of our product candidates and our ability to generate revenues from our product candidates, if approved, will depend on many factors including our ability to:</w:t>
      </w:r>
    </w:p>
    <w:p>
      <w:pPr>
        <w:spacing w:after="0" w:line="5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obtain favorable results from our clinical trials and preclinical studies with respect to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and receive marketing approval from the applicable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claims that are necessary or desirable for successful marketing;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approval for our manufacturing processes and facilities from the applicable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enroll qualified patients for clinical trials with respect to our product candidates in a timely manner;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maintain a workforce of experienced scientists and others with experience in relevant technologies to continue to develop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deploy marketing and sales representatives or contract with a third-party for marketing and sales representatives to commercialize product candidates in the United States and key foreign markets;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create market demand for our product candidates, if approved, through marketing and sales activities, and any other arrangements to promote these product candidates that we may otherwise establish;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and establish a market share;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and efficacy profile of our product candidates, if approved, following commercial launch;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appropriate reimbursement, pricing, and payment coverage for our product candidates, if approved;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 candidates in sufficient quantities and at acceptable quality and manufacturing cost to meet commercial demand at launch and thereafter;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and group purchasing organizations on commercially reasonable terms;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partnerships with, or offer licenses to, qualified third parties to promote and sell product candidates, if approved, in domestic and key foreign markets where we receive marketing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product candidates for additional indications or for use in broader patient populations;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patent and trade secret protection and regulatory exclusivity for our product candidates;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for, identify, register, maintain, enforce, and defend intellectual property rights and claims covering our products and intellectual property portfolio; and not infringe on others’ intellectual property rights.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we are not able to do any of the foregoing, our business may be materially harmed. If we do not receive FDA or other applicable foreign regulatory approval for, and successfully commercialize our product candidates, we will not be able to generate revenue from these product candidates in the United States or other key foreign markets for the foreseeable future or at all.</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generated from our modifier gene therapy platform are based on a novel technology and face an uncertain regulatory environment, which makes it difficult to predict the time and cost of product candidate development and subsequently obtaining regulatory approval.</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substantial portion of our product research and development efforts is centered around our modifier gene therapy platform. The regulatory approval and successful commercialization of OCU400, OCU410, and OCU410ST depend on the successful development of this platform. There can be no assurance that any development problems we experience in the future related to our modifier gene therapy platform will not cause significant delays or unanticipated costs, or that such development problems can be solved. The clinical trial requirements of the FDA, the EMA, and other regulatory agencies, and the criteria used by these regulators to determine the safety and efficacy of a product candidate vary substantially according to the type, complexity, novelty, and intended use and market of such product candidates. The regulatory approval process for novel product candidates such as these can be more expensive and take longer than for other, better known, or extensively studied pharmaceuticals or other product types.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Regulatory requirements governing gene and cell therapy products have changed frequently and may continue to change in the future. For example, the FDA established the Office of Tissues and Advanced Therapies within its Center for Biologics Evaluation and Research ("CBER") to consolidate the review of gene therapy and related products, and the Cellular, Tissue and Gene Therapies Advisory Committee to advise CBER on its review. Gene therapy clinical trials conducted at institutions that receive funding for recombinant deoxyribonucleic acid ("DNA") research from the NIH are also subject to review by the NIH Novel and Exceptional Technology and Research Advisory Committee ("NExTRAC"), formerly the Recombinant DNA Advisory Committee, which now focuses on emerging areas of research including, but not restricted to, technologies surrounding advances in recombinant or synthetic nucleic acid research. Although the FDA decides whether individual gene therapy protocols may proceed, it is possible the NExTRAC review process, which is still being implemented, could delay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initiation of a clinical trial, even if the FDA has reviewed the trial design and details and approved its initiation. Before a clinical trial can begin at a study site, the institution’s IRB and its IBC have to review the proposed clinical trial to assess the safety of the trial. In addition, adverse developments in clinical trials of gene therapy products conducted by others may cause the FDA or other regulatory bodies to change the requirements for approval of any of our product candidates.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gene therapy product candidates, we will be required to consult with these regulatory and advisory groups, and comply with applicable guidelines. If we fail to do so, we may be required to delay or discontinue development of our gene therapy product candidates. These additional processes may result in a review and approval process that is longer than we otherwise would have expected for orphan ophthalmology product candidates. Delay or failure to obtain, or unexpected costs in obtaining the regulatory approval necessary to bring a potential product to market could decrease our ability to generate sufficient product revenue to maintain our business.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Existing data on the safety and efficacy of gene therapy is very limited and sometimes include historically poor clinical efficacy of previous non-replicating gene therapy products. In addition, there have been publicized safety issues associated with previous gene therapy products in third-party clinical trials, including patient deaths. The results of preclinical and clinical trials performed for our product candidates will not definitively predict safety or efficacy in humans. OCU400, OCU410, and OCU410ST use an AAV vector. Possible serious side effects of other viral vector-based gene therapies in general include uncontrolled viral infections and the development of cancer, particularly lymphoma or leukemia. The risk of insertional mutagenesis or oncogenesis remains a significant concern for gene therapy, and we cannot provide any assurance that it will not occur in any of our ongoing or planned clinical trials with respect to our product candidates based on our modifier gene therapy platform. There is also the potential risk of delayed adverse events following exposure to gene therapy products due to persistent biological activity of the genetic material or other components of products used to carry the genetic material. Potential procedure-related adverse reactions, including inflammation, can also occur. If any such adverse events occur during clinical trials, further advancement of such clinical trials could be halted or delayed, which would have a material adverse effect on our business and operations.</w:t>
      </w:r>
    </w:p>
    <w:p>
      <w:pPr>
        <w:spacing w:after="0" w:line="208"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 xml:space="preserve">Finally, the public's attitude may be influenced by claims that gene therapy technology is unsafe, unethical, or immoral. If we are unable to convincingly demonstrate the safety and efficacy of our product candidates arising from our gene modifier platform, our product candidates, even if approved by the FDA or foreign regulatory authorities, may not gain the acceptance of the public or the medical community. For example, </w:t>
      </w:r>
      <w:r>
        <w:rPr>
          <w:rFonts w:ascii="Times New Roman" w:cs="Times New Roman" w:eastAsia="Times New Roman" w:hAnsi="Times New Roman"/>
          <w:sz w:val="18"/>
          <w:szCs w:val="18"/>
          <w:color w:val="231F20"/>
        </w:rPr>
        <w:t>in November 2023, the FDA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announced it is investigating the risk of T cell malignancies associated with currently approved </w:t>
      </w:r>
      <w:r>
        <w:rPr>
          <w:rFonts w:ascii="Times New Roman" w:cs="Times New Roman" w:eastAsia="Times New Roman" w:hAnsi="Times New Roman"/>
          <w:sz w:val="18"/>
          <w:szCs w:val="18"/>
          <w:color w:val="000000"/>
        </w:rPr>
        <w:t>BCMA- and CD19-directed autologous CAR T cell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immunotherapies. The FDA stated the overall benefits of these products continue to outweigh their potential risks, but the agency is evaluating the need for regulatory action. It is unclear whether any regulatory action that the FDA may take following its investigation may adversely impact the FDA’s approach to regulating any product candidates we may develop based on the use of our modifier gene therapy platform, or may negatively impact patients’, providers’, or public perception of such product candidates.</w:t>
      </w:r>
    </w:p>
    <w:p>
      <w:pPr>
        <w:spacing w:after="0" w:line="1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marketing, and distribution of pharmaceutical products are subject to extensive regulations by the FDA and other regulatory authorities, which regulations differ from country to country. The time required to obtain approval by the FDA and comparable foreign authorities is unpredictable but typically takes many years following the commencement of clinical trials. The outcome of the approval process is inherently uncertain and depends upon numerous factors, including the substantial discretion of the regulatory authorities. This is especially true for rare and/or complicated diseases. Failure can occur at any time during the clinical trial process. We cannot predict if or when we might receive regulatory approvals for any of our product candidates currently under development. Any delay in our obtaining or our failure to obtain required approvals could materially adversely affect our ability to generate revenue from the particular product candidate, which likely would result in significant harm to our financial position and adversely impact our stock price.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Securing marketing approval requires the submission of extensive preclinical and clinical data and supporting information to regulatory authorities for each therapeutic indication to establish the product candidate’s safety and efficacy for that indication. We may be unable to design and execute a clinical trial to support marketing approval. Securing marketing approval also requires the submission of information about the product manufacturing process to, and inspection of manufacturing facilities and clinical trial sites by the regulatory authorities. Regulatory authorities have substantial discretion in the approval process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may refuse to accept any application or may decide that our data is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The FDA or other similar regulatory authorities may determine that our product candidates are not effective or only moderately effective (e.g., studies may not produce the necessary result on all study endpoints), that our studies failed to reach the necessary level of statistical significance, or that our product candidates have undesirable or unintended side effects, toxicities, or other characteristics that preclude us from obtaining marketing approval or prevent or limit commercial use.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including the FDA and the NIH, or IRBs or IBCs may not authorize us or our investigators to commence or continue a clinical trial, conduct a clinical trial at a prospective trial site, or amend trial protocols, or regulators, IRBs, or IBCs may require that we modify or amend our clinical trial protocols;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CDMOs;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be lost to follow-up at a higher rate than we anticipate;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the regulators, IRBs, or IBCs may require the suspension or termination of clinical research for various reasons, including noncompliance with regulatory requirements or a finding that the participants are being exposed to unacceptable health risks, undesirable side effects, or other unexpected characteristics (alone or in combination with other products) of the product candidate, or due to findings of undesirable effects caused by a chemically or mechanistically similar therapeutic or therapeutic candidate;</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or regulations, or changes in or the enactment of additional statutes or regulations, during the development period rendering our data insufficient to obtain marketing approval and requiring us to conduct additional studies;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the patients from the study, increase the needed enrollment size for the study, or extend the study’s duration;</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including endpoints, or our interpretation of data from preclinical studies and clinical trials or find that a product candidate’s benefits do not outweigh its safety risks;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contract manufacturer’s manufacturing facility for clinical and future commercial supplies;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 marketing application, or other comparable submissions in foreign jurisdictions, or to obtain regulatory approval in the United States or elsewhere;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take longer than we anticipate to make a decision on our product candidates;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delays relating to any preclinical or clinical trials also could shorten any periods during which we may have the exclusive right to commercialize our product candidates, if approved, or allow our competitors to bring products to market before we do. This may prevent us from receiving marketing approvals and impair our ability to successfully commercialize our product candidates, if approved,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failure to comply with FDA and comparable foreign regulatory requirements may, either before or after product approval, if any, subject us to administrative or judicially imposed sanctions, including:</w:t>
      </w:r>
    </w:p>
    <w:p>
      <w:pPr>
        <w:spacing w:after="0" w:line="5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products, manufacturers, or manufacturing process;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Form 483s, or untitled letters alleging violations;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marketing applications or supplements to approved marketing applications.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we were to obtain regulatory approval of a product candidate, the FDA or comparable foreign regulatory authorities may grant approval for fewer or more limited indications, populations, or uses than we request, may require significant safety warnings, including black box warnings, contraindications, and precautions, may grant approval contingent on the performance of costly post-marketing clinical trials, surveillance, restrictions on use or other requirements, including a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an organization, we have limited experience in the development, manufacturing, distribution, or commercialization of a vaccine candidate.</w:t>
      </w:r>
    </w:p>
    <w:p>
      <w:pPr>
        <w:spacing w:after="0" w:line="24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We have limited experience in the development of vaccine candidates and have never undertaken the manufacturing, distribution, or commercialization of a vaccine candidate, and we may be unable to obtain regulatory authorization or approval. Additionally, development of an effective vaccine candidate depends on the success of our and our partner’s manufacturing capabilities. In addition, the development and manufacture of inhaled mucosal vaccines may prove to be more complex than the development and manufacture of traditional vaccines. Further, we may be unable to effectively create a supply chain for our vaccines that will adequately support demand. We may also face challenges with sourcing a sufficient amount of raw materials to support the demand for a vaccine. While we are currently collaborating with NIAID for early clinical studies for the OCU500 program, there can also be no assurance that we will be able to obtain the required funding from government agencies for further development of OCU500 or for development of our vaccine candidates, OCU510 and OCU520.</w:t>
      </w:r>
    </w:p>
    <w:p>
      <w:pPr>
        <w:spacing w:after="0" w:line="21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Due to the end of the COVID-19 public health emergency and decline in vaccination rates, the demand for any COVID-19 vaccine product candidate we develop may decrease significantly.</w:t>
      </w:r>
    </w:p>
    <w:p>
      <w:pPr>
        <w:spacing w:after="0" w:line="185"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As noted elsewhere in this Annual Report, on May 11, 2023, the U.S. Department of Health and Human Services announced the COVID-19 public health emergency ended. In addition, the demand for COVID-19 vaccines is becoming more endemic and seasonal. As other companies continue to develop, receive regulatory approval for and commercialize their own COVID-19</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vaccines and as demand for such vaccines declines, demand for our COVID-19 product candidates OCU500 and OCU520 may be diminished.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development and manufacture of biologics is a complex process and entails particular risks.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OCU200 is our novel biologic designed to treat retinal diseases. The process of developing and manufacturing biologics is complex, highly regulated, and subject to multiple risks, and we have no experience in successfully developing, manufacturing, or commercializing a biologics product. The manufacturing of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and higher costs.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raw materials required in our third-party vendors’ manufacturing processes are derived from biological sources. We cannot assure you that our third-party vendors have, or will be able to obtain on commercially reasonable terms, or at all, sufficient rights to these materials derived from biological sources. Such raw materials are difficult to procure and may also be subject to contamination or recall. If microbial, viral, or other contaminations are discovered at the facilities of our manufacturer, such facilities may need to be closed for an extended period of time to investigate and remedy the contamination, which could delay clinical trials, result in higher costs of drug product, and adversely harm our business. A material shortage, recall, or restriction on the use of biologically derived substances in the manufacture of our product candidates could adversely impact or disrupt the clinical and commercial manufacturing of our product candidates, which could materially and adversely affect our operating results and development timelines. In addition, the U.S. government may impose restrictions on goods, including biologically derived substances, manufactured in or imported from China. This could have a material adverse effect on our business and operations.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biologic product candidates may expose us to additional potential product liability claims. The development of biologic products entails a risk of additional product liability claims because of the risk of transmitting disease to human recipients, and substantial product liability claims may be asserted against us as a result.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OCU400 and OCU410ST have received orphan drug designation, or ODDs from the FDA and OCU400 has received orphan medicinal product designation, or OMPD from the European Commission, or EC. However, there is no guarantee that we will be able to maintain these designations, receive these designations for any of our other product candidates, or receive or maintain any corresponding benefits, including periods of exclusivity.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obtained from the FDA Office of Orphan Products, ODDs for OCU400 for RP and LCA and had previously received ODDs for the treatment of the following disease genotypes: NR2E3,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PDE6ß</w:t>
      </w:r>
      <w:r>
        <w:rPr>
          <w:rFonts w:ascii="Times New Roman" w:cs="Times New Roman" w:eastAsia="Times New Roman" w:hAnsi="Times New Roman"/>
          <w:sz w:val="18"/>
          <w:szCs w:val="18"/>
          <w:color w:val="auto"/>
        </w:rPr>
        <w:t xml:space="preserve"> mutation-associated inherited retinal degenerations. OCU400 has additionally received OMPD from the EC, based on the recommendation of the EMA, for RP and LCA. We have also received ODD for OCU410ST for the treatment of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-associated retinopathies including Stargardt, RP19 and CORD3 diseases. We may also seek ODD or OMPD for our other product candidates, as appropriate. While these ODDs and OMPDs provide us with certain advantages, they neither shorten the development time or regulatory review time of a product candidate nor give the product candidate any advantage in the regulatory review or approval process.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if a product candidate with ODD or OMPD is the first to receive marketing approval for the orphan indication, the product is entitled to a period of marketing exclusivity, which precludes the FDA or EMA from approving another marketing application for the same drug or biologic for the same indication for a specified time period. The applicable period is seven years in the United States and 10 years in Europe. The European exclusivity period can be reduced to six years if a product no longer meets the criteria for OMPD or if the product is sufficiently profitable so that market exclusivity is no longer justified.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able to obtain any future ODDs or OMPDs that we apply for. Receiving ODDs or OMPDs do not guarantee that we will be able to successfully develop our product candidates, and there is no guarantee that we will be able to maintain any ODDs or OMPDs that we receive. For instance, ODDs may be revoked if the FDA finds that the request for designation contained an untrue statement of a material fact or omitted material information, or if the FDA finds that the product candidate was not eligible for designation at the time of the submission of the request.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even if we are able to receive and maintain ODDs or OMPDs, we may ultimately not receive any period of regulatory exclusivity if our product candidates are approved. For instance, we may not receive orphan product regulatory exclusivity if the indication for which we receive FDA or EMA regulatory approval is different than the ODD or OMPD. Orphan exclusivity may also be lost for the same reasons that ODD or OMPD may be lost. Orphan exclusivity may further be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lost if we are unable to assure a sufficient quantity of the product to meet the needs of patients with the rare disease or condition.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obtain orphan exclusivity for any of our current or future product candidates, that exclusivity may not effectively protect the product candidate, if approved, from competition as different products can be approved for the same condition or products that are the same as ours can be approved for different conditions. Even after an orphan product is approved, the FDA or EMA can also subsequently approve a product containing the same principal molecular features for the same condition if the regulatory authority concludes that the latter product is clinically superior by means of greater effectiveness, greater safety, or providing a major contribution to patient care.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another sponsor receives approval for such product before we do, we would be prevented from launching our product for the orphan indication during the period of marketing exclusivity unless we can demonstrate clinical superiority.</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or may pursue fast track, breakthrough therapy, or RMAT designations from the FDA for one or more of our product candidates. Even if one or more of our product candidates receives fast track, breakthrough therapy, or RMAT designations, we may be unable to obtain and maintain the benefits associated with such designations. These designations may not lead to a faster development or regulatory review or approval process, and will not increase the likelihood that such product candidates will receive marketing approval.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May 2022, the FDA granted RMAT designation to NeoCart for the repair of full-thickness lesions of the knee cartilage in adults. In December 2023, the FDA granted RMAT designation to OCU400 for the treatment of RP associated with NR2E3 and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mutations. In the future, we may seek additional product designations, such as fast track, breakthrough therapy, or RMAT designation, which are intended to facilitate the development or regulatory review or approval process for product candidates. Receipt of such a designation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FDA procedures and does not assure ultimate marketing approval by the FDA. In addition, the FDA may later decide that the product candidates no longer meet the designation conditions, in which case any granted designations may be revoked.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FDA may determine that our product candidates have undesirable side effects that could delay or prevent their regulatory approval or commercialization. If such side effects are identified during the development of our product candidates, we may need to abandon our development of such product candidates.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one of our product candidates as a result of undesirable side effects identified during preclinical or clinical testing, the FDA may order us to cease further development or issue a letter requesting additional data or information prior to making a final decision regarding whether or not to approve the product candidate. FDA requests for additional data or information can result in substantial delays in the approval of a new product candidate.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Undesirable side effects caused by any unexpected characteristics (alone or in combination with other products) for any of our product candidates could also result in denial of regulatory approval by the FDA or other comparable foreign authorities for any or all targeted indications or the inclusion of unfavorable information in our product labeling, such as limitations on the indicated uses or populations for which the products may be marketed or distributed, a label with significant safety warnings, including boxed warnings, contraindications, and precautions, a label without statements necessary or desirable for successful commercialization, may result in requirements for costly post-marketing testing and surveillance, or other requirements, including REMS, to monitor the safety or efficacy of the products. These could prevent us from commercializing and generating revenues from the sale of our product candidates.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compounds that initially showed promise in clinical or earlier stage testing have later been found to cause side effects that prevented further development of the compound. In addition, adverse events which had initially been considered unrelated to the study treatment may later be found to be caused by the study treatment. Moreover, incorrect or improper use of our product candidates (including use more frequently than is prescribed), if approved, by patients could cause unexpected side effects or adverse events. There can be no assurance that our product candidates, if approved, will be used correctly, and if used incorrectly, such misuse could prevent our receipt or maintenance of marketing approval, resulting in label changes or regulatory authority safety communications or warnings, or hamper commercial adoption of our product candidate, if approved, at the rate we currently expect.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our product candidates are associated with serious adverse events,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We may also be held liable for harm caused to patients and our reputation may suffer. Any of these occurrences may significantly harm our business, financial condition, results of operations, and prospects.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completion of clinical trials and receipt of necessary regulatory approvals could be delayed or prevented.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Our ongoing clinical trials could be discontinued early if they experience slow enrollment, and we may also experience similar difficulties in future clinical trials. If patients are unwilling to participate in our clinical trials because of negative publicity from adverse events related to vaccines, gene therapy, or in the industry more broadly, in the clinical trials for related third party product candidates, or for other reasons, including competitive clinical trials for similar patient populations, the timeline for recruiting patients, conducting studies, and obtaining regulatory approval of potential products may be delayed. These delays could result in increased costs, delays in advancing our product development, delays in testing the effectiveness of our product candidates, or termination of the clinical trials altogether.</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or our clinical trial sites may not be able to identify, recruit, and enroll a sufficient number of patients, or those with the required or desired characteristics in a clinical trial, to complete our clinical trials in a timely manner. Patient enrollment is affected by other factors including:</w:t>
      </w:r>
    </w:p>
    <w:p>
      <w:pPr>
        <w:spacing w:after="0" w:line="54"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(for instance, we are pursuing clinical trials for certain orphan indications, for which the size of the patient population is limited);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current treatments for the indications for which we are conducting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and design of the clinical trial in question, including factors such as frequency of required assessments, length of the study, and ongoing monitoring requirements;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including the potential advantages or disadvantages of the product candidate being studied in relation to other available therapies;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recruiting and enrolling patients in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publicity created by clinical trial sites regarding the trial;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ability to comply with the specific instructions related to the trial protocol, proper documentation, and use of the product candidate;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or maintain patients' informed consents;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enrolled patients will drop out before completion or not return for post-treatment follow-up;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compensate patients for their time and effort;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conducting clinical trials for our product candidates if we are unable to locate and enroll a sufficient number of eligible patients to participate in these clinical trials as required by the FDA or similar regulatory authorities outside the United States. Our inability to enroll a sufficient number of patients for our clinical trials would result in significant delays and could require us to abandon one or more clinical trials altogether. In particular, there may be low or slow enrollment, and the studies may enroll subjects that do not meet the inclusion criteria, requiring the erroneously enrolled subjects to be excluded and the trial population to be increased. Moreover, patients in our clinical trials, especially patients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control groups, may be at risk for dropping out of our studies if they are not experiencing relief of their disease. A significant number of withdrawn patients would compromise the quality of a study's data.</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Enrollment difficulties or delays in our clinical trials may result in increased development costs for our product candidates, or the inability to complete development of our product candidates, which would cause our value to decline, limit our ability to obtain additional financing, and materially impair our ability to generate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from preclinical studies and early-stage clinical trials may not be predictive of success in later clinical trials.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preliminary study results, and early-stage clinical trials of our product candidates may not be predictive of the results of later-stage clinical trials or the ultimately completed clinical trial. Preliminary and final results from such studies may not be representative of study results that are found in larger, controlled, blinded, and more long-term studies. Product candidates in later stages of clinical trials may fail to show the desired safety and efficacy traits despite having progressed through preclinical studies and initial clinical trials. A number of companies have suffered significant setbacks in advanced clinical trials, notwithstanding promising results in earlier clinical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from time to time, we may publish interim, “top-line,” initial, or preliminary data from our clinical trials. Interim data from clinical trials are subject to the risk that one or more of the clinical outcomes may materially change as patient enrollment continues and more patient data becomes available. Preliminary, initial, or “top-line” data also remain subject to audit and verification procedures that may result in the final data being materially different from the preliminary data previously published. As a result, interim, “top-line”, initial, and preliminary data should be viewed with caution until the final data are available. Adverse changes between preliminary, initial, “top-line” or interim data and final data could significantly harm our business prospects.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product candidates at sites outside the United States, and the FDA may not accept data from clinical trials conducted in such locations.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in the future, choose to conduct one or more of our clinical trials outside the United States. Although the FDA may accept data from clinical trials conducted outside the United States, acceptance of data is in either case subject to the respective conditions imposed by the FDA. For example, the clinical trial must be well designed and conducted and be performed by qualified investigators in accordance with ethical principles, such as IRB or ethics committee approval and informed consent. The trial population must also adequately represent the U.S. population, and the data must be applicable to the U.S. population and U.S. medical practice in ways that the FDA deems clinically meaningful. In addition, while these clinical trials are subject to the applicable local laws (and therefore failure to comply with such laws could result in regulatory enforcement action), acceptance of the data by the FDA will be dependent upon its determination that the clinical trials were conducted consistent with all applicable U.S. laws and regulations. If the FDA does not accept the data from any clinical trial that we conduct outside the United States, it would likely result in the need for additional trials, which would be costly and time-consuming and could delay or permanently halt our development of the applicable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market and sell our products in jurisdictions outside the United States, we must obtain separate marketing approvals in international jurisdictions and comply with numerous and varying regulatory requirements. The approval procedures vary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among countries and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The clinical trials of our product candidates may not be sufficient to support an application for marketing approval outside the United States. Seeking foreign regulatory approval could result in difficulties and costs for us and require additional preclinical studies or clinical trials which could be costly and time consuming.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have any product candidates approved for sale in any jurisdiction, including in international markets, and we do not have experience in obtaining regulatory approval in international markets. We, or any current or eventual collaborators, may not obtain approvals from regulatory authorities outside the United States on a timely basis, if at all. Approval by the FDA does not guarantee approval by regulatory authorities in other countries or jurisdictions, and approval by one regulatory authority outside the United States does not guarantee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injunctions, or other enforcement actions if we are determined to be promoting the use of our products, if approved, for unapproved or “off-label” uses, resulting in damage to our reputation and business.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We may not market or promote them for other indications and uses, referred to as off-label uses. We further must be able to sufficiently substantiate any claims that we make for our products, if approved, including claims comparing our products to other companies’ products and must abide by the FDA’s strict requirements regarding the content of promotion and advertising. 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Such litigation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suspension and debarment from government contracts, and refusal of orders under existing government contracts. These false claims statutes include the federal civil FCA, which allows any individual to bring a lawsuit against a company on behalf of the federal government ("qui tam" action)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FCA lawsuits against sponsors of drugs and biologics have increased significantly in volume and breadth in recent years, leading to several substantial civil and criminal settlements, up to $3.0 billion, pertaining to certain sales practices and promoting off-label uses. In addition, FCA lawsuits may expose sponsors to follow-on claims by private payors based on fraudulent marketing practices. This growth in litigation has increased the risk that companies will have to defend a false claim action, and pay settlements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such litigation and, if we do not successfully defend against such actions, those actions may have a material adverse effect on our business, financial condition, results of operations, and prospects.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the distribution of product samples to physicians must further comply with the requirements of the U.S. PDMA, and the promotion of biologic and pharmaceutical products are subject to additional FDA requirements and restrictions on promotional statements. If the FDA determines that our promotional activities violate our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These regulatory and enforcement actions could significantly harm our business, financial condition, results of operations, and prospects.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we will be subject to ongoing obligations and continued regulatory review, which may result in significant additional expense.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will be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GMP requirements relating to manufacturing, quality control, quality assurance, and corresponding maintenance of records and documents, requirements regarding the distribution of samples to physicians and GCPs, for any clinical trials that we conduct post-approval.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the approval may be subject to limitations on the indicated uses and populations for which the product may be marketed or to the conditions of approval, including significant safety warnings, such as boxed warnings, contraindications, and precautions that are not desirable for successful commercialization. Any approved products may also be subject to a REMS that render the approved product not commercially viable or other post-market requirements, such as Phase 4 studies, or restrictions. If the FDA or comparable foreign regulatory authorities become aware of new safety information after the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current GMP and other FDA regulatory requirements. Application holders must further notify the FDA, and depending on the nature of the change, obtain FDA pre-approval for product and manufacturing changes.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6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distribution, or marketing of such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including restrictions on the indication or approved patient population, and required additional warnings, such as black box warnings, contraindications, and precautions;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corrective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other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a comparable foreign authority may require that we establish or modify a similar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untitled, Form 483s, or cyber letters;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or recall of the products from the market;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limit the marketability of our product candidates, or impose additional regulatory obligations on us. Changes in medical practice and standard of care may also impact the marketability of our product candidates, if approved.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of any proposed product names, and any failure or delay associated with such approval may adversely affect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upon the existing rights of third-parties, and be acceptable to the FDA. We may be unable to build a successful brand identity for a new trademark in a timely manner or at all, which would limit our ability to commercialize our product candidates, if approved.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the economic, political, legal and social conditions and policies of the Chinese government or in relations between China and the United States may materially and adversely affect our business, financial condition, results of operations, access to capital, and the market price of our common stock.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co-development and commercialization agreement with CanSinoBIO with respect to the development and commercialization of our modifier gene therapy platform including OCU400, OCU410 and OCU410ST as well as manufacturing part of our inhaled mucosal vaccine platform including OCU500, and as a result, have significant operations in China. Due to our operations in China, our business, results of operations, financial condition, access to capital, market price of our common stock and prospects may be influenced to a significant degree by economic, political, legal and social conditions in China or changes in government relations between China and the United States or other governments. Furthermore, we face the risk that our business operations in China will be impacted by government regulations and/or foreign sanctions. Escalation of current geopolitical tensions may implicate China and could increase the risk of government regulations and/or foreign sanctions and imposition of export controls and import restrictions. In addition, our information technology systems may be at risk of being blocked from our world-wide operations. Ongoing human rights concerns in China may result in boycotts of our services or client requests not to use Chinese operations to support their projects.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prior experience in the marketing, sale, and distribution of biotechnology products and there can be no assurance that our product candidates, if approved, will be successfully commercialized.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prior experience in the marketing, sale, and distribution of biotechnology products, and there are significant risks involved in the building and managing of a commercial infrastructure. The establishment and development of commercial capabilities, including compliance plans, to market any products we may develop will be expensive and time consuming and could delay any product launch, and we may not be able to successfully develop this capability. We will have to compete with other pharmaceutical or biotechnology companies to recruit, hire, train, manage, and retain marketing and sales personnel. Factors that may inhibit our efforts to commercialize our product candidates include:</w:t>
      </w:r>
    </w:p>
    <w:p>
      <w:pPr>
        <w:spacing w:after="0" w:line="7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train, manage,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and marketing personnel on legal and regulatory compliance matters and monitoring their 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coverage and reimbursement by government and private health plans;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realization on government sales from mandatory discounts, rebates and fees, and from price concessions to private health plans and pharmacy benefit managers necessitated by competition for access to managed formularies;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claims that we may make for the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other foreign regulatory agencies, including those that we may agree to as part of a mandatory REMS or voluntary risk management plan;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 foregoing occur, we may not be successful in commercializing any product candidates for which we receive marketing approval.</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conducting marketing and sales activities in international jurisdictions and entering into international business relationships, including:</w:t>
      </w:r>
    </w:p>
    <w:p>
      <w:pPr>
        <w:spacing w:after="0" w:line="6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and biologics in foreign countries;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seek additional patent approvals, licenses to patents held by third parties, and/or face claims of infringing third-party patent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the U.K. Bribery Act 2010 (the "Bribery Act"), or other comparable foreign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pandemics or other outbreaks of infectious disease, earthquakes, typhoons, floods, and fires.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ability to attain or maintain profitable operations.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marketing and sales capabilities or enter into agreements with third parties to market and sell our product candidates, if approved, we may be unable to generate product revenues.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do not have a commercial infrastructure for the marketing, sale, and distribution of biotechnology products. If approved, in order to commercialize our products, we must build our marketing, sales, and distribution capabilities or make arrangements with third parties to perform these services. If we do not establish sales, marketing, and distribution capabilities successfully, either on our own or in collaboration with third parties, we will not be successful in commercializing any product candidates for which we receive marketing approval.</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regulatory approval of any of our product candidates, we may build a commercial team of specialty sales and marketing representatives in support of our product candidates that we develop in the United States or other foreign countries, if approved, as well as distribution capabilities. There are risks involved with us establishing our own sales, marketing, and distribution capabilities. Recruiting and training a sales force is expensive and time-consuming, particularly to the extent that we seek to commercialize any product, if approved, for an indication, such as dAMD, that has a large patient population. We will be competing with many companies that currently have extensive and well-funded marketing and sales operations to recruit, hire, train, and retain marketing and sales personnel. Further, we may underestimate the size of the sales force required for a successful product launch and may need to expand our sales force earlier and at a higher cost than we anticipate. If the commercial launch of our product candidates, if approved,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or alternatively decide to collaborate with a third-party or contract sales organization to commercialize any approved product candidates, in which event, our ability to generate product revenues may be limited. Our product revenues and our profitability, if any, under any third-party collaboration, distribution, or other marketing arrangements are likely to be lower than if we were to market, sell, and distribute the applicable product candidate, if approved, entirely ourselves. We may not be successful in entering into arrangements with third parties to sell, market, and distribute our product candidates, if approved, or may be unable to do so on terms that are favorable to us. In addition, we would have less control over the sales efforts of any other third parties involved in our commercialization efforts and any of them may fail to devote the necessary resources and attention to sell and market our product candidates, if approved, effectively. We could also be held liable if such third parties failed to comply with applicable legal or regulatory requirements.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we are unable to develop a team of marketing and sales representatives or to establish an effective third-party contractual relationship for such services, we may not be able to commercialize our product candidates, if approved, which would limit our ability to generate product revenues. Even if we are able to effectively hire a sales force and develop a marketing and sales infrastructure, our sales force and marketing teams may not be successful in commercializing our product candidates, if approved.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biotechnology industry is characterized by rapidly advancing technologies as well as a strong emphasis on intellectual property leading to a highly competitive environment for the development and commercialization of therapeutic products,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regenerative medicines, and vaccines. We face competition with respect to our current product candidates and will face competition with respect to any product candidates that we may seek to develop or commercialize in the future. We face competition from many different sources, including from major pharmaceutical companies, specialty pharmaceutical companies, biotechnology companies,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development and commercialization of gene therapies is highly competitive. We are aware of several companies focusing on gene therapies for various ophthalmic indications including Applied Genetic Technologies Corporation, as acquired by Syncona Limited, Astellas Pharma Inc., MeiraGTx Holdings plc in partnership with Janssen Pharmaceuticals, Inc., Nanoscope Therapeutics Inc., REGENXBIO Inc., Novartis AG, F. Hoffmann-La Roche AG ("Roche AG"), Kiora Pharmaceuticals, Inc., Genentech, Inc. in partnership with Lineage Cell Therapeutics, Inc., and Luxturna, the product developed by Spark Therapeutics, Inc. and marketed by Roche AG, is currently the only gene therapy approved to treat IRDs in the United States which addresses only mutations in the </w:t>
      </w:r>
      <w:r>
        <w:rPr>
          <w:rFonts w:ascii="Times New Roman" w:cs="Times New Roman" w:eastAsia="Times New Roman" w:hAnsi="Times New Roman"/>
          <w:sz w:val="18"/>
          <w:szCs w:val="18"/>
          <w:i w:val="1"/>
          <w:iCs w:val="1"/>
          <w:color w:val="auto"/>
        </w:rPr>
        <w:t>RPE65</w:t>
      </w:r>
      <w:r>
        <w:rPr>
          <w:rFonts w:ascii="Times New Roman" w:cs="Times New Roman" w:eastAsia="Times New Roman" w:hAnsi="Times New Roman"/>
          <w:sz w:val="18"/>
          <w:szCs w:val="18"/>
          <w:color w:val="auto"/>
        </w:rPr>
        <w:t xml:space="preserve"> gene. The mutation associated with the </w:t>
      </w:r>
      <w:r>
        <w:rPr>
          <w:rFonts w:ascii="Times New Roman" w:cs="Times New Roman" w:eastAsia="Times New Roman" w:hAnsi="Times New Roman"/>
          <w:sz w:val="18"/>
          <w:szCs w:val="18"/>
          <w:i w:val="1"/>
          <w:iCs w:val="1"/>
          <w:color w:val="auto"/>
        </w:rPr>
        <w:t>RPE65</w:t>
      </w:r>
      <w:r>
        <w:rPr>
          <w:rFonts w:ascii="Times New Roman" w:cs="Times New Roman" w:eastAsia="Times New Roman" w:hAnsi="Times New Roman"/>
          <w:sz w:val="18"/>
          <w:szCs w:val="18"/>
          <w:color w:val="auto"/>
        </w:rPr>
        <w:t xml:space="preserve"> gene represents just one of more than 125 mutated genes linked to RP and LCA.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regenerative medicine sector is characterized by innovative science, rapidly advancing technologies, and a strong emphasis on proprietary products. The competitive landscape in the field of articular cartilage repair in the U.S. is emerging and has stimulated a substantial amount of interest from companies developing tissue repair solutions. Companies that may compete with our NeoCart product candidate include Vericel Corporation's MACI, the only FDA-approved ACI product in the United States, and Aesculap Biologics, LLC's NOVOCART 3D, which is currently enrolling subjects in their Phase 3 clinical trial.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and will continue to face, intense competition from companies as well as institutions that are pursuing or have commercialized vaccines that would compete with our inhaled mucosal vaccine platform, if commercialized. The competitive landscape of COVID-19 vaccines has been rapidly developing since the beginning of the COVID-19 pandemic and includes competitors such as Pfizer Inc./BioNTech SE, Moderna, Inc., AstraZeneca PLC, Novavax, Inc., Sinovac Biotech Ltd., Gamaleya Research Institute of Epidemiology and Microbiology, and Center for Genetic Engineering and Biotechnology. Each of the aforementioned vaccines have been authorized or approved in at least one country within the Ocugen Mucosal Vaccine Territory and are intramuscular vaccines. CanSinoBIO's Convidecia Air, an intranasal vaccine targeting COVID-19, has been approved in China. Other competitors for our novel inhaled mucosal vaccine platform include CyanVac LLC, Meissa Vaccines, Inc., Codagenix, Inc., Intravacc B.V., McMaster University, and Tetherex Pharmaceuticals Corporation. Companies such as Pfizer Inc./BioNTech SE, Moderna, Inc., CureVac N.V in partnership with GSK plc, Vivaldi Biosciences Inc., and Novavax, Inc. are also in the process of developing a combination vaccine that will protect against COVID-19 and the seasonal flu. Vivaldi Biosciences Inc. is also currently undergoing clinical trials for their intranasal vaccine for the seasonal flu.</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biologic products is highly competitive as well. Companies that may compete with our OCU200 product candidate include Roche AG, Regeneron Pharmaceuticals, Inc., AsclepiX Therapeutics, Inc., Outlook Therapeutics, Inc., Novartis AG, Oxurion NV, Unity Biotechnology, Inc., Opthea Limited, and 4D Molecular Therapeutics, Inc. Roche AG, Regeneron Pharmaceuticals, Inc., and Novartis AG have marketed anti-VEGF products.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side effects, are more convenient or are less expensive than any products that we may develop and for which we receive approval. Our competitors also may obtain FDA or other regulatory approval for their products more rapidly than we may obtain approval for our product candidates, which could result in our competitors establishing a strong market position before we are able to enter the market. They may obtain patent protection or other intellectual property rights that allow them to develop and commercialize their products before us and could limit our ability to develop or commercialize our product candidates.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ability to compete may be affected in many cases by insurers or other third-party payors' coverage decisions, particularly Medicare, seeking to encourage the use of generic or biosimilar products. Many of the products that will compete with our product candidates, if approved, are available on a generic basis, and our product candidates may not demonstrate sufficient additional clinical benefits to clinicians, patients, or payors to justify a higher price compared to generic products. Additional competing products are expected to become available on a generic basis over the coming years.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for which we receive approval do not achieve broad market acceptance, the revenues that we generate from their sales will be limited.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our product candidates are approved by the appropriate regulatory authorities for marketing and sale, they may not gain acceptance among physicians, patients, third-party payors, and others in the medical community. Physicians are often reluctant to switch their patients and patients may be reluctant to switch from existing therapies even when new and potentially more effective or safer treatments enter the market. We have never commercialized a product candidate for any indication, and efforts to educate the medical community and third-party payors on the benefits of our product candidates may require significant resources and may not be successful. With respect to our product candidates being developed based on our modifier gene therapy platform, market acceptance may also be constrained by ethical, social, and legal concerns about gene therapy and genetic research, which could result in additional regulations restricting or prohibiting the products and processes we may use. The novelty of the technology and any negative publicity surrounding adverse events associated with gene therapy may also prevent the medical community, patients, and third-party payors from accepting gene therapy products in general, and our product candidates in particular, as medically useful, cost-effective, and safe.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acceptance of our product candidates by the medical community, patients, and third-party payors will depend on a number of factors, some of which are beyond our control. If any product candidates for which we obtain regulatory approval does not gain an adequate level of market acceptance, it may not generate significant product revenues or become profitable.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market acceptance of any of our product candidates will depend on a number of factors, including:</w:t>
      </w:r>
    </w:p>
    <w:p>
      <w:pPr>
        <w:spacing w:after="0" w:line="11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candidates are approved and the approved claims that we may make for the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for such product candidates that may be more restrictive than other competitive products;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 which could reduce the marketing impact of any claims that we could make following FDA approval, if obtained;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such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formulary coverage and adequate coverage or reimbursement by third parties, such as insurance companies and other healthcare payors, and by government healthcare programs, including Medicaid and particularly by Medicare in light of the prevalence of retinal diseases in persons over age 55;</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 party payors to obtain coverage;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manufacturing, marketing, and distribution of such product candidates;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candidates or to which we agree as part of a REMS or voluntary risk management plan;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availability of generic or biosimilar versions of any products that compete with any of our product candidates and the extent to which they are offered at a substantially lower price than we expect to offer for our product candidates, if approved;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our revenue may be adversely affected and our business may suffer.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potential market opportunities for our product candidates are difficult to precisely estimate. Our estimates of the potential market opportunities are predicated on many assumptions, which may include industry knowledge and publications, third-party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reports, and other surveys, some of which we may have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In addition, while we believe that our internal assumptions are reasonable, these assumptions involve the exercise of significant judgment on the part of our management, are inherently uncertain, and the reasonableness of these assumptions has not been assessed by an independent source. If any assumptions prove to be inaccurate, the actual markets for our product candidates could be smaller than our estimates of the potential market opportunities, and as a result, our product revenue may be limited, and it may be more difficult for us to achieve or maintain profitability.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third-party payors do not reimburse patients for our products candidates, if approved, or if reimbursement levels are set too low for us to sell our product candidates at a profit, our ability to successfully commercialize our product candidates, if approved, and our results of operations will be harmed.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successfully commercialize our product candidates, if approved, will depend in part on the extent to which coverage and adequate reimbursement for our product candidates will be available in a timely manner from third-party payors, including governmental healthcare programs such as Medicare and Medicaid, commercial health insurers, and managed care organizations. This is particularly true with respect to OCU200, our novel biologic product candidate, in the case of Wet AMD, which is most prevalent in persons over age 55. Government authorities and other third-party payors, such as private health insurers and health maintenance organizations, determine which medications they will cover and establish reimbursement levels. Reimbursement decisions by particular third-party payors depend upon a number of factors, including each third-party payor's determination that use of a product is:</w:t>
      </w:r>
    </w:p>
    <w:p>
      <w:pPr>
        <w:spacing w:after="0" w:line="8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and medically necessary for the specific condition or disease;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effective;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Obtaining coverage and reimbursement approval for our product candidates from government authorities or other third-party payors may be a time consuming and costly process that could require us to provide supporting scientific, clinical, and cost-effectiveness data, including expensive pharmacoeconomic studies beyond the data required to obtain marketing approval, for the use of each product candidate to each government authority or other third-party payor. We may not be able to provide data sufficient to gain acceptance with respect to coverage and reimbursement.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Third-party payors may deny reimbursement for covered products if they determine that a medical product was not used in accordance with cost-effective diagnosis methods, as determined by the third-party payor, or was used for an unapproved indication. Third-party payors also may refuse to reimburse for procedures and devices deemed to be experimental. Third-party payors may also limit coverage to specific products on an approved list, or formulary, which might not include all of the approved products for a particular indication.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Increasingly, third-party payors are also requiring that drug companies provide them with predetermined discounts from list prices and are challenging the prices charged for medical products. These third-party payors could also impose price controls and other conditions that must be met by patients prior to providing coverage for use of our product candidates, if approved. For example, insurers may establish a "step-edit" system that requires a patient to first use a lower price alternative product prior to becoming eligible for reimbursement of a higher price product.</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Third-party payors are increasingly attempting to contain healthcare costs by limiting both coverage and the level of reimbursement for medical products and services. The process for determining whether a payor will provide coverage for a product may be separate from the process of setting the price or reimbursement rate that the payor will pay for the product once coverage is approved. Levels of reimbursement may also decrease in the future, and legislation, regulation, or reimbursement policies of third-party payors may adversely affect the demand for and reimbursement available for our product candidates, which in turn, could negatively impact pricing. If patients are not adequately reimbursed for our product candidates, if approved, they may reduce or discontinue purchases of it, which would result in a significant shortfall in achieving revenue expectations and negatively impact our business, prospects, and financial condition. For example, the IRA contains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the establishment of rebate payment requirements on manufacturers of certain drugs payable under Medicare Parts B and D to penalize price increases that outpace inflation, and requires manufacturers to provide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discounts on Part D drugs. Substantial penalties can be assessed for noncompliance with the drug pricing provisions in the IRA. The IRA could have the effect of reducing the prices we can charge and reimbursement we receive for our products, if approved, thereby reducing our profitability, and could have a material adverse effect on our financial condition, results of operations, and growth prospects. The IRA's drug price negotiation provisions are subject to ongoing constitutional challenges, and the effect of IRA on our business and the biotechnology industry in general is not yet known.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supervise, and monitor our preclinical studies and clinical trials we may initiate, and those third parties may not perform satisfactorily, including failing to meet deadlines for the completion of such preclinical studies or clinical trials or failing to comply with regulatory requirements.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third parties, study sites, and others to conduct, supervise, and monitor our preclinical and clinical trials for our product candidates. We expect to continue to rely on third parties, such as CDMOs, clinical data management organizations, medical and scientific institutions, and clinical and preclinical investigators to conduct our preclinical studies and clinical trials. We often have to negotiate budgets and contracts with such third parties, and if we are unsuccessful or if the negotiations take longer than anticipated, this could result in delays to our development timelines and increased costs.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have, or expect to have, agreements governing the activities of such third parties, we will have limited influence and control over their actual performance and activities. Third-party service providers are not our employees, and except for remedies available to us under agreements with such third parties, we cannot control whether or not they devote sufficient time and resources to our preclinical studies or clinical trials. Nevertheless, we will be responsible for ensuring that each of our preclinical studies and clinical trials is conducted in accordance with the applicable protocol and legal, regulatory, and scientific standards, and our reliance on third parties will not relieve us of our regulatory responsibilities. For example, we will remain responsible for ensuring that each of our trials is conducted in accordance with the general investigational plan and protocols for the trial. We must also ensure that our preclinical studies are conducted in accordance with GLP and under current GMP conditions,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trial sponsors, principal investigators, clinical trial sites, and IRBs.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 federal or state fraud and abuse or false claims laws and regulations or healthcare privacy and security laws.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these third parties upon which we depend do not successfully carry out their contractual duties, meet expected deadlines, conduct our preclinical studies or any clinical trials in accordance with regulatory requirements or our stated protocols, if they need to be replaced or if the quality or accuracy of the data they obtain is compromised due to the failure to adhere to our protocols, regulatory requirements, or for other reasons:</w:t>
      </w:r>
    </w:p>
    <w:p>
      <w:pPr>
        <w:spacing w:after="0" w:line="6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CDMOs, or other third-party collaborators may be subject to regulatory enforcement or other legal actions;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generated in our preclinical studies or clinical trials may be deemed unreliable and our such studies and clinical trials may need to be repeated, extended, delayed, or terminated;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identify new CDMOs with which to partner for the supply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may be delayed in obtaining, marketing approvals for our product candidates;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or may be delayed in our efforts to, successfully commercialize our product candidates, if approved.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preclinical studies or clinical trials will comply with the applicable regulatory requirements. To the extent we are unable to successfully identify and manage the performance of third-party service providers in the future, our business may be materially and adversely affected. As a result, our results of operations and the commercial prospects for our product candidates would be harmed, our costs could increase, and our ability to generate revenues could be delayed.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need to identify and retain alternative CDMOs for any reason during our product development programs, the technical skills required to manufacture our product candidates may be unique or proprietary to the original CDMO and we may have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Furthermore, a CDMO may possess technology related to the manufacture of our product candidate that such CDMO owns independently. This would increase our reliance on such CDMO or require us to obtain a license from such CDMO in order to have another CDMO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anticipated reliance on third parties for clinical trials will entail additional risks. Our third-party service providers may have relationships with other entities, some of which may be our competitors, for whom they may also be conducting clinical trials or other therapeutic development activities that could harm our competitive position. 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 Lastly, we are required to register certain clinical trials and post the results of certain completed clinical trials on a government-sponsored database,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within specified timeframes. Failure to do so can result in enforcement actions and adverse publicity.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Agreements with third parties conducting or otherwise assisting with our clinical or preclinical studies might terminate for a variety of reasons, including a failure to perform by the third parties. If any of our relationships with these third parties terminate, we may not be able to enter into arrangements with alternative providers or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intend to carefully manage our relationships with third parties, there can be no assurance that we will not encounter challenges or delays in the future or that these delays or challenges will not have a material adverse impact on our business, financial condition, prospects, and results of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also rely on other third parties to store and distribute our product candidates for preclinical purposes or clinical trials that we conduct. Any performance failure on the part of our distributors could delay development, marketing approval, or commercialization of our product candidates, if approved, producing additional losses and depriving us of potential product revenue.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in negotiating commercial manufacturing and supply agreements with third-party manufacturers and suppliers of our product candidates or any product components, our ability to commercialize our product candidates, if approved, would be impaired.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 strategic partnership with CanSinoBIO to manufacture our modifier gene therapy pipeline product candidates. Under this agreement, CanSinoBIO is responsible for the CMC development and manufacture of clinical supplies for OCU400, OCU410 and OCU410ST. The agreement also provides commercialization rights to CanSinoBIO in Greater China. This agreement may be adversely affected if the U.S. government were to impose restrictions related to goods manufactured in or imported from China.</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rely on our qualified suppliers and other third parties to manufacture clinical supplies of our product candidates and commercial supplies of our products, if and when approved for marketing by applicable regulatory authorities, as well as for packaging, serialization, storage, distribution, and other production logistics. We, however, may not succeed in our efforts to establish manufacturing relationships or other alternative arrangements for any of our product candidates, components, and programs, or may be unable to do so on commercially favorable terms. If we are unable to enter into such agreements on commercially favorable terms, our future profit margins would be adversely affected and our ability to commercialize any products that receive marketing approval on a timely and competitive basis would be impaired. As a result, our business, financial condition, and results of operations would be materially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 candidates or product components pursuant to the terms of contractual arrangements with us or fail to comply with stringent regulations applicable to biotechnology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manufacturers, we may face delays in the development and commercialization of, or be unable to meet demand for, our product candidates, if approved, and may lose potential revenues.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third-party contract manufacturers to manufacture some of our preclinical product candidate supplies and some of our clinical trial product supplies and, if approved, will rely on third-party contract manufacturers to manufacture some of our commercial product supplies, including all of our drug substance, vialing, labeling, and packaging. We do not own manufacturing facilities for producing any clinical trial or commercial product supplies. There can be no assurance that our preclinical, clinical development, and, if approved, commercial product supplies will not be limited or interrupted, including as a result of impacts of current macroeconomic and geopolitical events, increasing rates of inflation, rising interest rates, or that our product supplies will be of satisfactory quality or continue to be available at acceptable prices.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with the third parties on which we rely or expect to rely for our preclinical activities and clinical trials, we have agreements governing the activities of our manufacturers but have limited influence and control over their actual performance and activities. Our third-party manufacturers are not our employees, and except for remedies available to us under our agreements with such third parties, we cannot control whether or not they devote sufficient time and resources to our manufacturing requirements. If these third-party manufacturers do not successfully carry out their contractual duties, meet expected deadlines or manufacture our product candidates in accordance with regulatory requirements, and if there are disagreements between us and such parties, clinical development or marketing approval of our product candidates could be delayed.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manufacture of biotechnology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If our manufacturers were to encounter any of these difficulties and were unable to perform as agreed, our ability to provide product candidates to patients in our clinical trials and for commercial use, if approved, would be jeopardized.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all manufacturers of our product candidates and therapeutic substances must comply with current GMP requirements enforced by the FDA that are applicable to both finished products and their active components used for both, clinical and commercial supply. The FDA enforces these requirements through its facilities inspection program. Our manufacturers must be approved by the FDA pursuant to inspections that will be conducted after we submit our marketing applications to the agency. Our manufacturers will also be subject to continuing FDA and other regulatory authority inspections should we receive marketing approval. Further, we, in cooperation with our contract manufacturers, must supply all necessary CMC documentation to the FDA in support of a marketing application on a timely basis.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current GMP requirements include quality control, quality assurance, and the maintenance of records and documentation. Manufacturers of our product candidates, therapeutic substances, and the active pharmaceutical ingredients necessary to produce our product candidates may be unable to comply with our specifications, current GMP requirements, and with other FDA, state, and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time-consuming for us or a third party to implement and that may include the temporary or permanent suspension of a clinical trial or commercial sales or the temporary or permanent closure of a facility. Any resulting delays in obtaining products, if approved, or product candidates that comply with the applicable regulatory requirements may result in delays to clinical trials, product approvals, and commercialization. It may also require that we conduct additional studies.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are ultimately responsible for the manufacture of our product candidates, other than through our contractual arrangements, we have little control over our manufacturers’ compliance with these regulations and standards. A failure to comply with the applicable regulatory requirements may result in regulatory enforcement actions against our manufacturers or us, including fines and civil and criminal penalties, including imprisonment, suspension or restrictions of production, injunctions, delays, withdrawal or denial of product approval or supplements to approved products, clinical holds or termination of clinical studies, warning or untitled letters, Form 483s, regulatory authority communications warning the public about safety issues with the product, refusal to permit the import or export of the products, product seizure, detention, or recall, operating restrictions, suits under the civil FCA, corporate integrity agreements, or consent decrees. Depending on the severity of any potential regulatory action, our clinical or commercial supply could be interrupted or limited, which could have a material adverse effect on our business.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problems or delays we experience in preparing for commercial-scale manufacturing of a product candidate or component, including manufacturing validation, may result in a delay in FDA approval or commercial launch, if approved, of the product candidate or may impair our ability to manufacture commercial quantities or such quantities at an acceptable cost, which could result in the delay, prevention, or impairment of commercialization of our product candidates and could adversely affect our business. The risks associated with any problems or delays may be greater should the U.S. government impose restrictions relating to goods manufactured in or imported from China.</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third-party manufacturers may also encounter shortages in the materials necessary to produce our product candidates in the quantities needed for our clinical trials or, if our product candidates are approved, in sufficient quantities for commercialization.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therapeutic substances, or active pharmaceutical ingredients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or our third-party manufacturers' failure to obtain the raw materials, therapeutic substances, or active pharmaceutical ingredients necessary to manufacture sufficient quantities of our product candidates may cause the manufacturers to fail to deliver the required commercial quantities of our product candidates on a timely basis and at commercially reasonable prices. If such failure occurs, we would likely be unable to meet the demand for our products, if approved, and we would lose potential revenues.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number of available, qualified third-party manufactures is limited, and if we are compelled to locate an alternative manufacturing partner, our product development activities and commercialization could be delayed and additional expense would be incurred.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a limited number of manufacturers that operate under current GMP regulations, that are both capable of manufacturing for us and willing to do so, and therefore our product candidates may compete with other products and product candidates for access to manufacturing facilities. Moreover, because our product candidates must be manufactured under sterile conditions, the number of manufacturers who can meet this requirement are even more limited. If our existing third-party manufacturers, or the third parties that we engage in the future to manufacture a product, if approved, or component for commercial sale or for any clinical trials we expect to initiate in the future should cease to continue to do so for any reason (including the termination of our agreements with such manufacturers, which can occur for a variety of reasons, or the bankruptcy of such manufacturers), it would be difficult to obtain a suitable alternative manufacturer. We would likely experience delays in obtaining sufficient quantities of our product candidates for us to meet commercial demand or to advance our clinical trials while we identify and qualify replacement suppliers. Any change in our manufacturers could be costly because the commercial terms of any new arrangement could be less favorable and because the expenses relating to the transfer of necessary technology and processes could be significant.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FDA or a comparable foreign regulatory authority inspects the facilities for the manufacture of our product candidates and finds that they are not in compliance with current GMP regulations now or in the future, we may need to find alternative manufacturing facilities. Any new manufacturers would need to either obtain or develop the necessary manufacturing know-how, and obtain the necessary equipment and materials, which may take substantial time and investment. We must also receive FDA approval for the use of any new manufacturers for commercial supply. Any such developments would significantly impact our ability to develop, obtain, and maintain regulatory authorization or approval for or market our product candidates, if approved.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available third-party facilities may also be further limited by natural disasters, such as pandemics, including any ongoing effects of the COVID-19 pandemic, floods, fire, or such facilities could face manufacturing issues, such as contamination or regulatory findings following a regulatory inspection of such facility. In such instances, an appropriate replacement third-party relationship may not be readily available to us or on acceptable terms, which would cause additional delays and increased expense and may have a material adverse effect on our business.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collaborate with third parties for the development or commercialization of our product candidates. We may not be successful in establishing or maintaining collaborative relationships, any of which could adversely affect our ability to develop and commercialize our product candidates.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 an agreement with CanSinoBIO for the development and commercialization of our modifier gene therapy platform. In the future, we may seek to enter into additional collaboration arrangements with pharmaceutical or biotechnology companies for the development or commercialization of other product candidates. We may utilize a variety of types of collaboration,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distribution, and other marketing arrangements with third parties to develop and commercialize our product candidates, both inside and outside the United States. In particular, we may enter into arrangements with third parties to perform certain services in the United States or other countries if we do not establish our own sales, marketing, and distribution capabilities in such countries, or if we determine that such third-party arrangements are otherwise beneficial. We may also consider potential collaborative partnership opportunities for sales, marketing, distribution, development, or licensing or broader collaboration arrangements, including with mid-size and large pharmaceutical companies, regional and national pharmaceutical companies, and biotechnology companies.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our current and future collaboration arrangements will depend heavily on the efforts and activities of our collaborators. Collaborators generally have significant discretion in determining the efforts and resources that they will apply to collaboration arrangements. Accordingly, with respect to any such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in part on our collaborator's abilities and efforts to successfully perform the functions assigned to them in these arrangements.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Moreover, collaborations with pharmaceutical companies and other third parties are often terminated or allowed to expire. Any such termination or expiration would adversely affect us financially and could harm our business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and future collaborations may pose a number of additional risks, including the following:</w:t>
      </w:r>
    </w:p>
    <w:p>
      <w:pPr>
        <w:spacing w:after="0" w:line="117" w:lineRule="exact"/>
        <w:rPr>
          <w:sz w:val="20"/>
          <w:szCs w:val="20"/>
          <w:color w:val="auto"/>
        </w:rPr>
      </w:pPr>
    </w:p>
    <w:p>
      <w:pPr>
        <w:jc w:val="both"/>
        <w:ind w:left="66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product candidates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 which could subject them or us to regulatory enforcement actions;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or fail to maintain intellectual property rights which they license to us,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our product candidates in the most efficient manner, or at all. If any collaborations do not result in the successful development and commercialization of our product candidates or if one of our collaborators subsequently terminates our agreement with us, we may not receive any future research funding, milestone, or royalty payments under the collaboration, as applicable. If we do not receive the funding we expect under the agreements, our development of our product candidates could be delayed, and we may need additional resources to develop our product candidates and our product platform. All of the risks relating to product development, regulatory approval, and commercialization described in this report also apply to the activities of our collaborators.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if any collaborator of ours is involved in a business combination, the collaborator might de-emphasize or terminate development or commercialization of any product candidate licensed to them by us. If one of our collaborators terminates its agreement with us, we may find it more difficult to attract new collaborators and our reputation in the business and financial communities could be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we desire to pursue a collaboration agreement but are not able to establish collaborations, we may have to alter our development and commercialization plans and our business could be adversely affected.</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We face significant competition in seeking appropriate collaborators and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if approved, the potential of competing products, the existence of uncertainty with respect to our ownership of technology, which can exist if there is a challenge to such ownership without regard to the merits of the challenge, and industry and market conditions generally. We may also be restricted under future license agreements from entering into agreements on certain terms with potential collaborators. Collaborations are complex and time-consuming to negotiate and document. Should we desire to pursue a collaboration agreement but are unable to reach agreements with suitable collaborators on a timely basis, on acceptable terms, or at all,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Compliance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and may in the future be, subject to securities litigation, which is expensive and could divert management attention.</w:t>
      </w:r>
    </w:p>
    <w:p>
      <w:pPr>
        <w:spacing w:after="0" w:line="2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 June 2021, a securities class action lawsuit was filed against us and certain of our agents in the U.S. District Court for the Eastern District of Pennsylvania (“Court”) (Case No. 2:21-cv-02725) that purported to state a claim for alleged violations of Sections 10(b) and 20(a) of the Exchange Act and Rule 10b-5 promulgated thereunder, based on statements made by us concerning the announcement of our decision to pursue the submission of a BLA for COVAXIN for adults ages 18 years and older rather than pursuing an EUA for the vaccine candidate. In July 2021, a second securities class action lawsuit was filed against us and certain of our agents in the Court (Case No. 2:21-cv-03182) that also purported to state a claim for alleged violations of Sections 10(b) and 20(a) of the Exchange Act and Rule 10b-5 promulgated thereunder, based on the same statements as the first complaint. In March 2022, the Court consolidated these two related securities class action lawsuits and appointed Andre Galan Bernd Benayon to serve as lead plaintiff. The lead plaintiff's amended complaint was filed in June 2022. In March 2023, the Court granted the Company's motion to dismiss with prejudice. The lead plaintiff appealed to the United States Court of Appeals for the Third Circuit ("Third Circuit") regarding the order that was entered in March 2023, which dismissed the action with prejudice. The lead plaintiff's appellant’s brief and joint appendix were filed in July 2023. Our appellees’ brief was filed in August 2023, and the lead plaintiff's reply brief was filed in September 2023. In March 2024, the Third Circuit affirmed the Court's decision to dismiss with prejudice the consolidated securities class action lawsuits.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2021, a stockholder derivative lawsuit was filed derivatively on behalf of us against certain of our agents and the nominal defendant Ocugen in the Court (Case No. 2:21-cv-03876) that purported to state a claim for breach of fiduciary duty and contribution for violations of Sections 10(b) and 21(d) of the Exchange Act, based on facts and circumstances relating to the securities class action lawsuits and seeking contribution and indemnification in connection with claims asserted in the securities class action lawsuits. In September 2021, a second stockholder derivative lawsuit was filed derivatively on behalf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 against certain of our agents and the nominal defendant Ocugen in the Court (Case No. 2:21-cv-04169) that purported to state a claim for breach of fiduciary duties, unjust enrichment, abuse of control, waste of corporate assets, and contribution for violations of Sections 10(b) and 21(d) of the Exchange Act, based on the same allegations as the first complaint. The parties to both stockholder derivative lawsuits have stipulated to the consolidation of the two stockholder derivative lawsuits and also have submitted to the Court in each action a proposed order requesting a stay of the litigation pending a decision on any motion to dismiss filed in the securities class action lawsuits, which the Court entered in April 2022. In March 2023, the Court in the securities class action lawsuits granted our motion to dismiss with prejudice. The parties to the stockholder derivative lawsuits stipulated to extend the stay of litigation pending resolution of any appeal filed in the securities class action lawsuits, which the Court entered in March 2023.</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2024, a securities class action lawsuit was filed against us and certain of our agents in the Court (Case No. 2:24-cv-01500) that purported to state a claim for alleged violations of Sections 10(b) and 20(a) of the Exchange Act and Rule 10b-5 promulgated thereunder, based on statements made by us concerning our previously-issued audited consolidated financial statements for each fiscal year beginning January 1, 2020 and our previously-issued unaudited interim condensed consolidated financial statements for each of the first three quarters in such years and the effectiveness of our disclosure controls and procedures during each such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complaints seek unspecified damages, interest, attorneys' fees, and other costs. We believe that these lawsuits are without merit and intend to vigorously defend against them. At this time, no assessment can be made as to their likely outcome or whether the outcome will be material to us. We may also become subject to additional securities class action lawsuits in the future. This risk is especially relevant for us because life sciences companies have experienced significant stock price volatility in recent years.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 of defending against these types of claims against us or the ultimate resolution of such claims, whether by settlement or adverse court decision, may divert management’s attention and harm our business. Further, potential claimants may be encouraged to bring lawsuits based on a settlement from us or adverse court decisions against us. We cannot currently assess the likely outcome of such lawsuits, but the commencement and/or resolution of such lawsuits (particularly if the outcome were negative), could have a material adverse effect on our reputation, results of operations, financial condition, and cash flows. They could also cause a decline in the market price of our common stock.</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healthcare laws, including fraud, abuse, and health and other information privacy and security laws, we could face substantial penalties and our business, financial condition, results of operations, and prospects could be adversely affected.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biotechnology company, we are subject to many federal and state healthcare laws, such as the federal Anti-Kickback Statute, the federal civil and criminal FCA, the civil monetary penalties statute, the Medicaid Drug Rebate statute and other price reporting requirements, the VHCA, the HIPAA, the FCPA, the ACA, and similar state laws. We may also be subject to laws regarding transparency and patient privacy. Even though we do not and will not control referrals of healthcare services or bills directly to Medicare, Medicaid, or other third-party payors, certain federal and state healthcare laws, and regulations pertaining to fraud and abuse, reimbursement programs, government procurement, and patients’ rights are and will be applicable to our business.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authorities will conclude that our business practices may not comply with current or future statutes, regulations, or case law involving applicable fraud, abuse, or other healthcare laws and regulations. If we or our operations are found to be in violation of any federal or state healthcare law, or any other governmental laws or regulations that applies to us, we may be subject to penalties, including civil, criminal, and administrative penalties, damages, fines, imprisonment,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Although an effective compliance program can mitigate the risk of investigation and prosecution for violations of these laws, the risks cannot be entirely eliminated. Moreover, achieving and sustaining compliance with applicable federal and state privacy, security, reimbursement, and fraud laws may prove costly. Any action against us for the violation of these laws, even if we successfully defend against it, could cause us to incur significant legal expenses and divert our management’s attention from the operation of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products. In recent years, Congress has considered reductions in Medicare reimbursement levels for products administered by physicians.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CMS, the agency that administers the Medicare and Medicaid programs, also has authority to revise reimbursement rates and to implement coverage restrictions for some products.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21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There have been significant ongoing administrative, executive, and legislative efforts to modify or eliminate the ACA. For example, the Tax Cuts and Jobs Act, enacted on December 22, 2017, repealed the shared responsibility payment for individuals who fail to maintain minimum essential coverage under section 5000A of the Code, commonly referred to as the individual mandate. Other legislative changes have been proposed and adopted since passage of the ACA. The ACA has also been subject to challenges in the courts.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passage of the ACA. For example, the Budget Control Act of 2011, among other things, includes aggregate reductions to Medicare payments to healthcare providers of up to 2.0% per fiscal year, which in connection with subsequent legislation are extended to 2032 unless additional Congressional action is taken. Further, 2013, the American Taxpayer Relief Act of 2012 among other things, reduced Medicare payments to several types of providers, including hospitals, imaging centers and cancer treatment centers, and increased the statute of limitations period for the government to recover overpayments to providers from three to five years. The IRA also contains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the establishment of rebate payment requirements on manufacturers of certain drugs payable under Medicare Parts B and D to penalize price increases that outpace inflation, and requires manufacturers to provide discounts on Part D drugs. Substantial penalties can be assessed for noncompliance with the drug pricing provisions in the IRA. The IRA could have the effect of reducing the prices we can charge and reimbursement we receive for our products, if approved, thereby reducing our profitability, and could have a material adverse effect on our financial condition, results of operations, and growth prospects. The drug price negotiations of the IRA are currently subject to several constitutional challenges. The outcomes of this litigation and the effect of IRA on our business and the pharmaceutical industry in general are not yet known.</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ACA has also been subject to challenges in the courts. In the most recent challenge in 2021, for example, the Supreme Court ruled that plaintiffs lacked standing to challenge the law as they had not alleged personal injury traceable to the allegedly unlawful conduct. As a result, the Supreme Court did not rule on the constitutionality of the ACA or any of its provisions.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changes to and under the ACA remain possible, but it is unknown what form any such changes or any law proposed to replace or revise the ACA would take, and how or whether it may affect our business in the future. We expect that changes to the ACA, the Medicare and Medicaid programs, changes allowing the federal government to directly negotiate prices and changes stemming from other healthcare reform measures, especially with regard to healthcare access, financing, or other legislation in individual states, could have a material adverse effect on the healthcare industry.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or CDMOs may engage in misconduct or other improper activities, including noncompliance with regulatory standards and requirements, which could have a material adverse effect on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manufacturers, investigators, or CDMOs could include intentional, reckless, negligent, or unintentional failures to (i) comply with FDA regulations or other similar regulatory requirements, (ii) comply with manufacturing standards, including current GMP requirements, (iii) comply with applicable fraud and abuse laws, (iv) comply with federal and state data privacy, security, fraud and abuse, and other healthcare laws and regulations in the United States and abroad, (v) provide accurate information to the FDA, (vi) properly calculate pricing information required by federal programs, (vii) comply with federal procurement rules or contract terms, (viii) report financial information or data accurately, or (ix) disclose unauthorized activities to us. This misconduct could also involve the improper use or misrepresentation of information obtained in the course of clinical trials, which could result in regulatory sanctions and serious harm to our reputation.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or be precluded from developing, manufacturing, and selling certain products outside the United States, which could adversely affect our business, results of operations, and financial condition.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anti-corruption laws, including the Bribery Act, the FCPA, and other anti-corruption laws that apply to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Compliance with the FCPA, in particular, is expensive and difficult, particularly in countries in which corruption is a recognized problem.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We are also subject to other laws and regulations governing our international operations, including regulations administered by the governments of the United Kingdom, the United States, Canada,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U.K., U.S., or other authorities could also have an adverse impact on our reputation,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and maintain patent protection for our technology and product candidates, or the scope of the patent protection obtained may not be sufficiently broad or enforceable, such that our competitors could develop and commercialize technology and products similar or identical to ours, and our ability to successfully commercialize our technology and product candidates may be impaired.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technology and product candidates. We have sought to protect our proprietary position by filing in the United States and in certain foreign jurisdictions, patent applications related to our novel technologies and product candidates.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have filed, maintained, or prosecuted and may not be able to file, maintain, and prosecute all necessary or desirable patents or patent applications at a reasonable cost or in a timely manner. We may also fail to identify patentable aspects of our research and development output before it is too late to obtain patent protection.</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fail to result in issued patents in the United States or in other foreign countries which may impact protection of our technology or product candidates, or which may effectively prevent others from commercializing competitive technologies and products. In addition, the laws of foreign countries may not protect our rights to the same extent as the laws of the United States, and the standards applied by the USPTO and foreign patent offices in granting patents are not always applied uniformly or predictably. For example, unlike patent law in the United States, European patent law precludes the patentability of methods of treatment of the human body and imposes substantial restrictions on the scope of claims it will grant. In addition, unlike the U.S. the European Patent Office typically limits the claims to those commensurate in scope with specifically disclosed embodiments.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whether we or our licensors were the first to make the inventions claimed in our owned or licensed patents or pending patent applications, or that we or our licensors were the first to file for patent protection of such inventions. Databases for patents and publications, and methods for searching them, are inherently limited so we may not know the full scope of all issued and pending patent applications. As a result, the issuance, scope, validity, enforceability, and commercial value of our patent rights are uncertain. Our pending and future patent applications may not result in patents being issued which protect our technology or product candidates, in whole or in part, or which effectively prevent others from commercializing competitive technologies and products. In particular, during prosecution of any patent application, the issuance of any patents based on the application may depend upon our ability to generate additional preclinical or clinical data that support the patentability of our proposed claims. We may not be able to generate sufficient additional data on a timely basis, or at all. Moreover, changes in either the patent laws or interpretation of the patent laws in the United States and other countries may diminish the value of our patents or narrow the scope of our patent protection.</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our owned and licensed patent applications issue as patents, they may not issue in a form that will provide us with any meaningful protection for our proprietary technology and product candidates, prevent competitors from competing with us, or otherwise provide us with any competitive advantage. Our competitors may be able to circumvent our owned or licensed patents by developing similar or alternative technologies or products in a non-infringing manner. In some instances, we may need to license additional patents and trade secrets to commercialize our product candidates in certain territories.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issuance of a patent is not conclusive as to our inventorship, ownership, scope, validity, or enforceability, and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2011, the Leahy-Smith America Invents Act (the "Leahy-Smith Act") was signed into law. The Leahy-Smith Act includes a number of significant changes to U.S. patent law. These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and in particular, the first to file provisions, became effective in 2013. The first to file provisions limit the rights of an inventor to patent an invention if not the first to file an application for patenting that invention, even if such invention was the first invention. The Leahy-Smith Act and its implementation could increase the uncertainties and costs surrounding the prosecution of our patent applications and the enforcement or defense of our issued patents, which could have a material adverse effect on our business, financial condition, results of operations, and prospects. For example, the Leahy-Smith Act created a new administrative tribunal known as the Patent Trial and Appeals Board ("PTAB"), that provides a venue for companies to challenge the validity of competitor patents at a cost that is much lower than district court litigation and on timelines that are much faster. Although it is not clear what, if any, long term impact the PTAB proceedings will have on the operation of our business, the outcome of patent challenge proceedings before the PTAB since its inception in 2013 have resulted in the invalidation of many U.S. patent claims. The availability of the PTAB as a lower-cost, faster, and potentially more potent tribunal for challenging patents could therefore increase the likelihood that our own patents will be challenged, thereby increasing the uncertainties and costs of maintaining, defending, and enforcing them.</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patent term extension in the United States under the Hatch-Waxman Act and in foreign countries under similar legislation, thereby potentially extending the term of our marketing exclusivity for our product candidates, our business may be materially harmed.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of the U.S. patents covering each of such product candidates or the use thereof may be eligible for up to five years of patent term extension under the Hatch-Waxman Act. The Hatch-Waxman Act allows a maximum of one patent to be extended per FDA approved product to account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also may be available in certain foreign countries upon regulatory approval of our product candidates. Nevertheless,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obtain patent term extension or restoration,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possible that we will not obtain patent term extension under the Hatch-Waxman Act for a U.S. patent covering one of our product candidates even where that patent is eligible for patent term extension, or if we obtain such an extension, it may be for a shorter period than we had sought. Further, for our licensed patents, we do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owned and licensed patents, trade secrets, or other intellectual property. As a result, to discourage, prevent, or counter infringement, misappropriation, or unauthorized use, we may be required to file infringement or misappropriation claims or other intellectual property related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proceedings, which can be expensive and time-consuming. Any claims we assert against perceived infringers could provoke such parties to assert counterclaims against us alleging that we infringed their patents or that our asserted patents are invalid. In addition, in a patent infringement or other intellectual property related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 Furthermore, because of the substantial amount of discovery required in connection with intellectual property litigation, there is a risk that some of our confidential information or trade secrets could be compromised by disclosure during this type of litigation.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subject to a third-party pre-issuance submission of prior art to the USPTO, or become involved in other contested proceedings such as opposition, derivation, reexamination, inter partes review, post-grant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United States, the FDA does not prohibit clinicians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technologies without infringing, misappropriating, or otherwise violating the intellectual property and other proprietary rights of third parties. There is a considerable amount of intellectual property litigation in the biotechnology and pharmaceutical industries. We may become party to, or threatened with, infringement litigation claims regarding our products and technology, including claims from competitors or from non-practicing entities that have no relevant product revenue and against whom our own patent portfolio may have no deterrent effect. Moreover, we may become party to future adversarial proceedings or litigation regarding our patent portfolio or the patents of third parties. Such proceedings could also include contested post-grant proceedings such as oppositions, inter partes review, reexamination, interference, or derivation proceedings before the USPTO or foreign patent offices.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even lawsuits or proceedings with a low probability of success might be initiated and require significant resources to defend. Litigation and contested proceedings can be expensive and time-consuming, and our adversaries in these proceedings may have the ability to dedicate substantially greater resources to prosecuting these legal actions than we do. The risks of being involved in such litigation and proceedings may increase as our product candidates near commercialization and as we gain the greater visibility associated with being a public company. Third parties may assert infringement claims against us based on existing patents or patents that may be granted in the future. We may not be aware of all such intellectual property rights potentially relating to our product candidates and their uses.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Thus, we do not know with certainty that any of our product candidates, or our development and commercialization thereof, do not and will not infringe or otherwise violate any third party’s intellectual property.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intellectual property rights, we could be required to obtain a license from such third party to continue developing and marketing its products and technology. However, we may not be able to obtain any required license on commercially reasonable terms or at all. Even if we are able to obtain a license, it could be non-exclusive, thereby giving our competitors access to the same technologies licensed to us and could require us to make substantial licensing and royalty payments. We could be forced, including by court order, to cease commercializing the infringing technology or product. In addition, we could be found liable for monetary damages, including treble damages and attorneys’ fees if we are found to have willfully infringed a patent, and could be forced to indemnify our customers or collaborators. A finding of infringement could also result in an injunction that prevents us from commercializing our product candidates or forces us to cease some of our business operations, which could materially harm our business. In addition, we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may be forced to redesign our product candidates, seek new regulatory approvals, and indemnify third parties pursuant to contractual agreements. Claims that we have misappropriated confidential information or trade secrets of third parties could have a similar negative impact on our business.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Periodic maintenance, renewal, and annuity fees on any issued patent must be paid to the USPTO and foreign patent agencies in several stages or annually over the lifetime of our owned and 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it would have a material adverse effect on our business.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aspects of our product candidates are protected by patents exclusively licensed from other companies or institutions. If these third parties terminate their agreements with us or fail to maintain or enforce the underlying patents or licenses thereto, or we otherwise lose our rights to these patents, our competitive position and our market share in the markets for any of our approved products will be harmed.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substantial portion of our patent portfolio is in-licensed. As such, we are party to license agreements and certain aspects of our business depend on patents and/or patent applications owned by other companies or institutions. For example, we hold exclusive licenses for patent families relating to OCU400, OCU410, OCU410ST, and OCU200, and an exclusive license in the United States, Europe, Japan, South Korea, Australia, China, and Hong Kong with respect an inhaled mucosal COVID-19 vaccine, and exclusive licenses for patent families related to NeoCart.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CU Agreement, which primarily relates to OCU200, we are responsible for and control the patent prosecution of all patent families licensed under the CU Agreement.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SERI Agreement, which relates to NHR genes </w:t>
      </w:r>
      <w:r>
        <w:rPr>
          <w:rFonts w:ascii="Times New Roman" w:cs="Times New Roman" w:eastAsia="Times New Roman" w:hAnsi="Times New Roman"/>
          <w:sz w:val="18"/>
          <w:szCs w:val="18"/>
          <w:i w:val="1"/>
          <w:iCs w:val="1"/>
          <w:color w:val="auto"/>
        </w:rPr>
        <w:t>NR1D1</w:t>
      </w:r>
      <w:r>
        <w:rPr>
          <w:rFonts w:ascii="Times New Roman" w:cs="Times New Roman" w:eastAsia="Times New Roman" w:hAnsi="Times New Roman"/>
          <w:sz w:val="18"/>
          <w:szCs w:val="18"/>
          <w:color w:val="auto"/>
        </w:rPr>
        <w:t xml:space="preserve">, NR2E3 (OCU400),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(OCU410 and OCU410ST), </w:t>
      </w:r>
      <w:r>
        <w:rPr>
          <w:rFonts w:ascii="Times New Roman" w:cs="Times New Roman" w:eastAsia="Times New Roman" w:hAnsi="Times New Roman"/>
          <w:sz w:val="18"/>
          <w:szCs w:val="18"/>
          <w:i w:val="1"/>
          <w:iCs w:val="1"/>
          <w:color w:val="auto"/>
        </w:rPr>
        <w:t>NUPR1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NR2C1</w:t>
      </w:r>
      <w:r>
        <w:rPr>
          <w:rFonts w:ascii="Times New Roman" w:cs="Times New Roman" w:eastAsia="Times New Roman" w:hAnsi="Times New Roman"/>
          <w:sz w:val="18"/>
          <w:szCs w:val="18"/>
          <w:color w:val="auto"/>
        </w:rPr>
        <w:t>, from and after December 19, 2017, we have the right to assume responsibility and control patent prosecution of licensed patent families relating to these NHR genes. Additionally, we are responsible for and control patent prosecution for any patent applications developed in connection with the SERI Agreement filed after December 19, 2017 that are owned jointly by us and SERI, or solely by us.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WU Agreement, which relates to inhaled mucosal COVID-19 vaccines, Washington University maintains control of patent preparation, filing, prosecution, and maintenance, subject to our right to negotiate with WU after the first anniversary of the effective date of the WU Agreement to assume responsibility for and control of the prosecution and maintenance of the patent rights throughout the Mucosal Vaccine Territory in Washington University's name.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rights with respect to in-licensed patents and patent applications may be lost if the applicable license agreement expires or terminates. We are likely to enter into additional license agreements to in-license patents and patent applications as part of the development of our business in the future, under which we may not retain control of the preparation, filing, prosecution, maintenance, enforcement, and defense of such patents. If we are unable to maintain these patent rights for any reason, our ability to develop and commercialize our product candidates could be materially harmed.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licensors may not successfully prosecute certain patent applications, the prosecution of which they control, under which we are licensed and on which our business depends. Even if patents are issued from these applications, our licensors may fail to maintain these patents, may decide not to pursue litigation against third-party infringers, may fail to prove infringement, or may fail to defend against counterclaims of patent invalidity or unenforceability. In some cases, our licensors may in-license certain patents licensed to us. If our licensors were to fail to maintain such licenses, we may need to obtain additional licenses with respect to the applicable product candidates.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Risks with respect to parties from whom we have obtained intellectual property rights may also arise out of circumstances beyond our control. In spite of our best efforts, our licensors might conclude that we have materially breached our intellectual property agreements and might therefore terminate the intellectual property agreements, thereby removing our ability to market products covered by these intellectual property agreements. If our intellectual property agreements are terminated, or if the underlying patents fail to provide the intended market exclusivity, our competitors may severely impact our business. Moreover, if our intellectual property agreements are terminated, our former licensors and/or assignors may be able to prevent us from utilizing the technology covered by the licensed or assigned patents and patent applications. This could have a materially adverse effect on our competitive business position and our business prospects.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which we own or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Some of the licenses or intellectual property rights that we own have been generated through the use of U.S. government funding and may therefore be subject to certain federal regulations under the Bayh-Dole Act. To the best of our knowledge, our intellectual property for OCU400 for the treatment of </w:t>
      </w:r>
      <w:r>
        <w:rPr>
          <w:rFonts w:ascii="Times New Roman" w:cs="Times New Roman" w:eastAsia="Times New Roman" w:hAnsi="Times New Roman"/>
          <w:sz w:val="18"/>
          <w:szCs w:val="18"/>
          <w:i w:val="1"/>
          <w:iCs w:val="1"/>
          <w:color w:val="auto"/>
        </w:rPr>
        <w:t xml:space="preserve">RHO </w:t>
      </w:r>
      <w:r>
        <w:rPr>
          <w:rFonts w:ascii="Times New Roman" w:cs="Times New Roman" w:eastAsia="Times New Roman" w:hAnsi="Times New Roman"/>
          <w:sz w:val="18"/>
          <w:szCs w:val="18"/>
          <w:color w:val="auto"/>
        </w:rPr>
        <w:t>and other gene-agnostic mutations-associated with RP, is subject to the Bayh-Dole Act. As a result, the U.S. government may have certain rights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intellectual property embodied in these patents and patent applications. In general, the Bayh-Dole Act provides the U.S. government certain rights in inventions developed using a government funded program, such as U.S. government’s right to a non-exclusive, non-transferable, irrevocable worldwide license to use inventions for any governmental purpose. In addition, under the Bayh-Dole Act, the U.S. government has the right to require any invention developed using U.S. government funding to be granted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Under the Bayh-Dole Act, the U.S. government also has the right to take title to inventions developed using a U.S. government funded program, if one fails to disclose the invention to the government and fails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In addition, the Bayh-Dole Act requires that any products subject to the Bayh-Dole Act be manufactured substantially in the United States. However, under the Bayh-Dole Act, this manufacturing preference requirement can be waived if the owner of the intellectual property can show that reasonable efforts to manufacture the product substantially in the United States were unsuccessful, or that under the circumstances, domestic manufacture is not commercially feasible. Any exercise by the government of any of the foregoing rights under the Bayh-Dole Act may affect our competitive position, business, financial condition, results of operations,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agreements under which we license certain of our patent rights and a significant portion of the technology for our product candidates, impose royalty and other financial obligations on us and other substantial performance obligations. We may also enter into additional licensing and funding arrangements with third parties that may impose diligence, development, and commercialization timelines and milestone payment, royalty, insurance, and other obligations on us. If we fail to comply with our obligations under current or future license and collaboration agreements, our counterparties may have the right to terminate these agreements, in which event we might not be able to develop, manufacture, or market any product that is covered by these agreements or may face other penalties under the agreements. Such an occurrence could diminish the value of our products and product candidates. Termination of these agreements or reduction or elimination of our rights under these agreements may result in us having to negotiate new or reinstated agreements with less favorable terms or cause us to lose our rights under these agreements, including our rights to important intellectual property or technology.</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being issued,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and our licensors’ employees and contractors were previously employed at other biotechnology, medical device, or pharmaceutical companies, including our competitors or potential competitors. Although we try to ensure that our employees and contractors do not use the proprietary information or know-how of others in their work for us, we may be subject to claims that these individuals or we have used or disclosed intellectual property, including trade secrets or other proprietary information, of any such employee’s former employer. Litigation may be necessary to defend against these claims.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Furthermore, we are unable to control whether our licensors have obtained similar assignment agreements from their own employees and contractors. Our and their assignment agreements may not be self-executing or may be breached, and we or our licensors may be forced to bring claims against third parties, or defend claims they may bring against us, to determine the ownership of what we regard as our intellectual property.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or our licensors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may not be available on commercially reasonable terms or at all. Even if we are successful in prosecuting or defending against such claims, litigation could result in substantial costs and be a distraction to management.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patent litigation or other proceedings could have an adverse effect on our ability to compete in the marketplace.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Any return to stockholders will therefore be limited to the appreciation of their stock. There is no guarantee that the common stock will appreciate in value or even maintain the price at which stockholders have purchased their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common stock by our stockholders in the public market could cause our stock price to fall.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common stock in the public market, the market price of our common stock could decline. We had 256.6 million shares of common stock outstanding as of December 31, 2023, which were all freely tradable, without restriction, in the public market.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substantial number of shares of common stock are sold, or if it is perceived that they will be sold, in the public market, the market price of our common stock could decline and we are unable to predict the effect that sales may have on the prevailing market price of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68" w:lineRule="exact"/>
        <w:rPr>
          <w:sz w:val="20"/>
          <w:szCs w:val="20"/>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removal of directors without cause due to the classified Board of Directors;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adopt, amend, or repeal our amended and restated bylaws or repeal certain provisions of our amended and restated certificate of incorporation;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or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("DGCL").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sixth amended and restated certificate of incorporation, as amended,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sixth amended and restated certificate of incorporation, as amended, provides that, unless we consent in writing to the selection of an alternative forum,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This exclusive forum provision would not apply to suits brought to enforce any liability or duty created by the Securities Act of 1933, as amended, or any other claim for which the federal courts have exclusive jurisdiction.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The Nasdaq Capital Market (“Nasdaq”) could result in a delisting of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must continue to satisfy Nasdaq continued listing requirements, including, among other things, certain corporate governance requirements and a minimum closing bid price requirement of $1.00 per share. If a company fails for 30 consecutive business days to meet the $1.00 minimum closing bid price requirement, Nasdaq will send a deficiency notice to the company, advising that it has been afforded a "compliance period" of 180 calendar days to regain compliance with the applicable requirements.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 2023, we received a deficiency letter from Nasdaq notifying us that, for the last 30 consecutive business days, the closing bid price for our common stock was below the minimum $1.00 per share required for continued listing on Nasdaq pursuant to the minimum closing bid price requirement. The Nasdaq deficiency letter had no immediate effect on the listing of our common stock. In accordance with Nasdaq Listing Rule 5810(c)(3)(A), we have been given 180 calendar days, or until October 30, 2023, to regain compliance with the minimum closing bid price requirement by causing our stock to close above $1.00 for a minimum of 10 consecutive trading days. If we do not regain compliance with the minimum closing bid price requirement by October 30, 2023, we may be afforded a second 180 calendar day period to regain compliance. To qualify, we would be required to meet the continued listing requirement for market value of publicly held shares and all other initial listing standards for Nasdaq, except for the minimum bid price requirement. In addition, we would be required to notify Nasdaq of our intent to cure the deficiency during the second compliance period. On October 31, 2023, we received a letter from Nasdaq stating that, although we had not regained compliance with the minimum bid price requirement, Nasdaq determined that we are eligible for an additional 180-day period, or until April 29, 2024, to regain compliance with the minimum bid price requirement. On March 28, 2024, we received written notice from Nasdaq stating that we have regained compliance with Nasdaq Listing Rule 5550(a)(2) (“Rule 5550(a)(2)”) by maintaining a minimum closing bid price of our common stock of at least $1.00 per share for the ten consecutive business days from March 13, 2024 to March 27, 2024 and that this matter is now closed.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 provide no assurance that we will be able to remain in compliance with other Nasdaq continued listing requirements. A delisting of our common stock from Nasdaq could materially reduce the liquidity of our common stock, impairing your ability to sell or purchase shares of our common stock when you wish to do so, and could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and employees. In the event of a delisting, we can provide no assurance that any action taken by us to restore compliance with listing requirements would allow the common stock to become listed again, stabilize the market price or improve the liquidity of the common stock, prevent the common stock from dropping below the Nasdaq minimum bid price requirement, or prevent future non-compliance with Nasdaq's listing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could be highly volatile, and purchasers of our common stock could incur substantial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stock price has been, and will likely continue to be volatile. The stock market in general and the market for stock of biotechnology companies in particular have experienced extreme volatility that has often been unrelated to the operating performance of particular companies. As a result of this volatility, investors may not be able to sell their common stock at or above their purchase price. The market price for our common stock may be influenced by those factors discussed in this "Risk Factors" section and many others, including:</w:t>
      </w:r>
    </w:p>
    <w:p>
      <w:pPr>
        <w:spacing w:after="0" w:line="7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subjects in our ongoing and planned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and preclinical studies, and the results of trials of our competitors or those of other companies in our market sector;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of our product candidates, or limitations to specific label indications or patient populations for use, or changes or delays in the regulatory review process;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adverse events in any of our products, competing biologics, or gene therapy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especially in light of current reforms to the U.S. healthcare system;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efforts to acquire, license, or develop additional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or new products developed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licensors, future collaborators, or other strategic partners;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ours;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insiders and stockholders or the perception that such sales could occur;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 over financial reporting;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including major changes in our board or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product liability, or other litigation against us;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market conditions, and other events or factors, many of which are beyond our control.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biotechnology companies following periods of volatility in the market prices of these companies' stock. Such litigation, including the litigation instituted against us in our current class action lawsuit, could cause us to incur substantial costs and divert management's attention and resources, which could have a material adverse effect on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business, our market, or our competitors. We currently have research coverage by six securities and industry analysts. If one or more of the analysts who currently or in the future may cover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Shankar Musunuri, Ph.D., MBA, our Chief Executive Officer, Chairman of the Board, and Co-Founder,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legal, financial,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regulatory, and manufacturing capabilities and potentially implement sales, marketing, and distribution capabilities, and as a result, we may encounter difficulties in managing our growth, which could disrupt our operations.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clinical, regulatory affairs, manufacturing, sales, marketing, and distribution. For example, we have completed renovating an existing facility into a current GMP facility in accordance with the FDA's regulations in support of NeoCart manufacturing for Phase 3 clinical trial material. To manage our anticipated future growth, we must continue to implement and improve our managerial, operational, and financial systems, expand our facilities, and continue to recruit and train additional qualified personnel. Our management may need to devote a significant amount of our attention to managing these growth activities. Due to our limited financial resources and our limited experience in managing such anticipated growth, we may not be able to effectively manage the expansion of our operations or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of 2002 ("Sarbanes-Oxley"), the Dodd-Frank Wall Street Reform, the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have had to hire additional accounting, finance, and other personnel in connection with our efforts to comply with the requirements of being a public company and our management and other personnel devote a substantial amount of time towards maintaining compliance with these requirements. These requirements increase our legal and financial compliance costs and make some activities more time-consuming and costly.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are applicable to us.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these requirements divert the attention of our management and personnel from other business concerns, they could have a material adverse effect on our business, financial condition, and results of operations. The increased costs could impact our results of operations, and may require us to reduce costs in other areas of our business or increase the prices of our products or services. For example, these rules and regulations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agents coverage and our commercial general liability policy specifically excludes coverage for damages and fines arising from biological agents. Accordingly,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as of December 31, 2023 as well as of and for the fiscal year ended December 31, 2022, and the quarters ended September 30, 2022, June 30, 2022, March 31, 2022, September 30, 2023, June 30, 2023, and March 31, 2023, with respect to the design and operating effectiveness of controls over the accounting for collaborative arrangement revenue.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21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discussed elsewhere in this Report under “Controls and Procedures” as well as “Restatement of Previously Issued Consolidated Financial Statements,” our management has concluded that, as of December 31, 2023, we had a material weakness in our internal control over financial reporting with respect to the design and operating effectiveness of controls over the accounting for collaborative arrangement revenue. This includes controls over the determination of the transaction price, calculating the progress towards the satisfaction of the performance obligations under the collaborative arrangements, and determining the value of the non-cash consideration received.</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prevent fraud. Any failure to maintain such internal control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common stock is listed, the SEC or other regulatory authorities. In either case, there could result a material adverse effect on our business. Failure to timely file will cause us to be ineligible to utilize short form registration statements on Form S-3, which may impair our ability to obtain capital in a timely fashion to execute our business strategies or issue shares to effect an acquisition. Ineffective internal controls could also cause investors to lose confidence in our reported financial information, which could have a negative effect on the trading price of our stock.</w:t>
      </w:r>
    </w:p>
    <w:p>
      <w:pPr>
        <w:spacing w:after="0" w:line="228" w:lineRule="exact"/>
        <w:rPr>
          <w:sz w:val="20"/>
          <w:szCs w:val="20"/>
          <w:color w:val="auto"/>
        </w:rPr>
      </w:pPr>
    </w:p>
    <w:p>
      <w:pPr>
        <w:ind w:right="800"/>
        <w:spacing w:after="0" w:line="266" w:lineRule="auto"/>
        <w:rPr>
          <w:sz w:val="20"/>
          <w:szCs w:val="20"/>
          <w:color w:val="auto"/>
        </w:rPr>
      </w:pPr>
      <w:r>
        <w:rPr>
          <w:rFonts w:ascii="Times New Roman" w:cs="Times New Roman" w:eastAsia="Times New Roman" w:hAnsi="Times New Roman"/>
          <w:sz w:val="18"/>
          <w:szCs w:val="18"/>
          <w:color w:val="auto"/>
        </w:rPr>
        <w:t>We may discover additional weaknesses in our system of internal financial and accounting controls and procedures that could result in a material misstatement of our combined and consolidated financial statements. Our internal control over financial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9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We continue to evaluate steps to remediate the identified material weaknesses. The material weakness cannot be considered remediated until the newly designed controls operate effectively for a sufficient period of time and management has concluded, through testing, that the control is operating effectively. These remediation measures may be time consuming and costly and there is no assurance that these initiatives will ultimately have the intended effects. 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227"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We can give no assurance that the measures we have taken and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restated our prior consolidated financial statements, which may lead to additional risks and uncertainties, including loss of investor confidence and negative impacts on our stock price.</w:t>
      </w:r>
    </w:p>
    <w:p>
      <w:pPr>
        <w:spacing w:after="0" w:line="19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In this Annual Report on Form 10-K, we restated our consolidated financial statements as of and for the fiscal year ended December 31, 2022, and the quarters ended September 30, 2022, June 30, 2022, March 31, 2022, September 30, 2023, June 30, 2023, and March 31, 2023 (the “Restated Periods”). The determination to restate the financial statements for the Restated Periods was made by our Audit Committee of the Board of Directors upon management’s recommendation following the identification of errors related us not appropriately accounting for the estimated non-cash consideration and expense in one of our collaboration arrangements. These identified errors resulted in a restatement of the following financial statements line items captions: Collaborative arrangement revenue, Research and development expenses, Other income (expense), net and Accrued expense and other current liabilities. Our management, after consultation with our independent registered accountants, concluded that our previously issued financial statements for the Restated Periods should no longer be relied upon.</w:t>
      </w:r>
    </w:p>
    <w:p>
      <w:pPr>
        <w:spacing w:after="0" w:line="22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The restatement of our previously issued financial statements has been time-consuming and expensive and could expose us to additional risks that could materially adversely affect our financial position, results of operations and cash flows, including unanticipated costs for accounting and legal fees in connection with or related to the restatement and the risk of potential stockholder litigation. If lawsuits are filed, we may incur additional substantial defense costs regardless of the outcome of such litigation. Likewise, such events might cause a diversion of our management’s time and attention. If we do not prevail in any such litigation, we could be required to pay substantial damages or settlement costs. In addition, the restatement may lead to a loss of investor confidence and have negative impacts on the trading price of our common stock.</w:t>
      </w:r>
    </w:p>
    <w:p>
      <w:pPr>
        <w:spacing w:after="0" w:line="1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404 of Sarbanes-Oxley, our management is required to report upon the effectiveness of our internal control over financial reporting. The rules governing the standards that must be met for management to assess our internal control over financial reporting are complex and require significant documentation, testing, and possible remediation. If we are unable to conclude that our internal control over financial reporting is effective, investors may lose confidence in our financial reporting and the trading price of our common stock may decline.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reporting, or to implement or maintain other effective control systems required of public companies, could also restrict our future access to the capital markets.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for our product candidates and may have to limit our commercialization.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of our product candidates for which we obtain regulatory approval, exposes us to the risk of product liability claims. Product liability claims might be brought against us by consumers, healthcare providers, pharmaceutical or biotechnology companies, or others selling or otherwise coming into contact with our products.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ourself against these claims, we will incur substantial liabilities or be required to limit development or commercialization of our product candidates. Even successful defense would require significant financial and management resources. Regardless of merit or eventual outcome, liability claims may result in:</w:t>
      </w:r>
    </w:p>
    <w:p>
      <w:pPr>
        <w:spacing w:after="0" w:line="84"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from decreased demand for our products and/or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or financial stability;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our stock price;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and enforcement actions by regulators;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revocation of approvals, or labeling, marketing, or promotional restrictions.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currently hold product liability insurance coverage in an amount that we believe is customary for similarly situated companies, the amount of that coverage may not be adequate. We may need to increase our insurance coverage as we continue to conduct our clinical trials. We will need to further increase our insurance coverage if we commence commercialization of any of our product candidates for which we obtain marketing approval. Insurance coverage is increasingly expensive. We may not be able to maintain insurance coverage at a reasonable cost or in an amount adequate to satisfy any liability that may arise. On occasion, large judgments have been awarded in class action lawsuits based on therapeutics that had unanticipated side effects. Our insurance policies also have various exclusions, and we may be subject to a product liability claim for which we have no coverage. A successful product liability claim or series of claims brought against us could cause our stock price to fall and, if judgments exceed our insurance coverage, could decrease our cash and adversely affect our business and our prospects.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development collaborators, third-party CDMOs, or other contractors or consultants may fail or suffer cybersecurity or other security breaches, which could result in a material disruption of our product development programs and cause our business and operations to suffer. We face risks related to our collection and use of data, which could result in investigations, inquiries, litigation, fines, legislative and regulatory action, and negative press about our privacy and data protection practices.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internal computer systems and those of our CDMOs and other contractors and consultants are vulnerable to cybersecurity breaches and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material disruption of our business operations and product candidate development and, if any of our product candidates are approved, commercialization programs. Likewise, we intend to rely on third parties to manufacture our product candidates and conduct clinical trials, and similar events relating to their computer systems could also have a material adverse effect on our business and operations. To the extent that any disruption or cybersecurity or other security breach were to result in a loss of, or damage to, our data or applications, or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inappropriate disclosure of confidential or proprietary information, we could incur liability, the further development and commercialization of our product candidates could be delayed, and our reputation could be harmed. In addition, there are known cyberattacks against biotechnology companies engaged in the development of therapeutic or vaccine products addressing COVID-19. Our inhaled mucosal vaccine platform could attract the attention of cyberattackers.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our business processes personal data, including some data related to health. When conducting clinical trials, we face risks associated with collecting trial participants' data, especially health data, in a manner consistent with applicable laws and regulations. We also face risks inherent in handling large volumes of data and in protecting the security of such data. We could be subject to attacks on our systems by outside parties or fraudulent or inappropriate behavior by our service providers or employees. Third parties may also gain access to our systems using stolen or inferred credentials, computer malware, viruses, spamming, phishing attacks, or other means, and may use such access to obtain personal data. Data breaches could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As our operations and business grow, we may become subject to or be affected by new or additional data protection laws and regulations and face increased scrutiny or attention from regulatory authorities, including various domestic and international privacy and security regulations. The legislative and regulatory landscape for privacy and data protection continues to evolve. In the United States, certain states may adopt privacy and security laws and regulations that may be more stringent than applicable federal law. For example, California enacted the California Consumer Privacy Act ("CCPA"), which took effect on January 1, 2020. The CCPA creates individual privacy rights for California consumers and increases the privacy and security obligations of entities handling certain personal data. Furthermore, it is anticipated that the California Privacy Rights Act of 2020 ("CPRA"), effective January 1, 2023, will expand the CCPA's requirements, including applying to personal information of business representatives and employees and establishing a new regulatory agency to implement and enforce the law.</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in the future be subject to data protection laws and regulations of other jurisdictions, such as the EU's General Data Protection Regulation ("GDPR"), which provides data subjects with certain rights and requires organizations to adopt technical and organizational safeguards to protect personal data. In the event that we are subject to or affected by privacy and data protection laws, including the CCPA, CPRA, or GDPR and other domestic or international privacy and data protection laws, we may expend significant resources to comply with such laws, and any liability from failure to comply with the requirements of these laws could adversely affect our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research, product candidates, and the diseases those product candidates and investigational medicines are being developed to treat. Social media practices in the biotechnology industry and the FDA's regulation of social media continues to evolve. This evolution creates uncertainty and risk of noncompliance with regulations applicable to our business, resulting in potential regulatory actions against us. For example, our employees or agents may use social media channels to inadvertently provide inaccurate or misleading information about our product candidates. If regulators become aware of such disclosures, they may take administrative or enforcement action against us. There is also a risk that third parties will use social media to disseminate inaccurate or misleading information about us or our product candidates. If this occurs, we may not be able to adequately defend our business or the public's perception of us or our product candidates, particularly given restrictions on what we may say about our product candidates prior to FDA approval. If any of these events were to occur or we otherwise fail to comply with applicable regulations, we could incur liability, face regulatory actions, or incur other harm to our business.</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expectations around corporate responsibility practices, specifically related to environmental, social and governance ("ESG") matters, may expose us to reputational and other risks.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Investors, stockholders, customers, suppliers and other third parties are increasingly focusing on ESG and corporate social responsibility endeavors and reporting. Certain institutional investors, investment funds, other influential investors, customers, suppliers and other third parties are also increasingly focused on ESG practices. Companies that do not adapt to or comply with the evolving investor or stakeholder expectations and standards, or which are perceived to have not responded appropriately, may suffer from reputational damage and result in the business, financial condition, and/or stock price of a company being materially and adversely affected. Further, this increased focus on ESG issues may result in new regulations and/or third party requirements that could adversely impact our business, or certain shareholders reducing or eliminating their holdings of our stock. Additionally, an allegation or perception that we have not taken sufficient action in these areas could negatively harm our reputation.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and expect to continue to be a “smaller reporting company” as defined in the Exchange Act, and have elected and expect to continue to elect to take advantage of certain of the scaled disclosures available to smaller reporting companies, including reduced disclosure obligations regarding executive compensation.</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and expect to continue to be a “smaller reporting company” as defined in the Exchange Act, and have elected and expect to continue to elect to take advantage of certain of the scaled disclosures available to smaller reporting companies, including reduced disclosure obligations regarding executive</w:t>
      </w:r>
    </w:p>
    <w:p>
      <w:pPr>
        <w:ind w:right="100"/>
        <w:spacing w:after="0" w:line="238" w:lineRule="auto"/>
        <w:rPr>
          <w:sz w:val="20"/>
          <w:szCs w:val="20"/>
          <w:color w:val="auto"/>
        </w:rPr>
      </w:pPr>
      <w:r>
        <w:rPr>
          <w:rFonts w:ascii="Times New Roman" w:cs="Times New Roman" w:eastAsia="Times New Roman" w:hAnsi="Times New Roman"/>
          <w:sz w:val="18"/>
          <w:szCs w:val="18"/>
          <w:color w:val="auto"/>
        </w:rPr>
        <w:t>compensation. These exemptions and reduced disclosures in our SEC filings due to our status as a smaller reporting company also mean our auditors are not required to audit our internal control over financial reporting for so long as we report less than $100 million in annual revenues for the most recent fiscal year and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common stock price may be more volatile. We will remain a smaller reporting company until our public float exceeds $250 million or our annual revenues exceed $100 million with a public float greater than $700 million.</w:t>
      </w:r>
    </w:p>
    <w:p>
      <w:pPr>
        <w:spacing w:after="0" w:line="19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Risk Management and Strategy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understand the importance of assessing, identifying, and managing risks associated with cybersecurity threats. Cybersecurity processes designed to assess, identify and manage risks from cybersecurity threats have been incorporated into our operations as a part of our overall risk assessment process.</w:t>
      </w:r>
    </w:p>
    <w:p>
      <w:pPr>
        <w:spacing w:after="0" w:line="175"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To help us defend against, detect and respond to risks from cybersecurity threats, we engage a third-party cybersecurity firm to assist with aspects of our cybersecurity program including, but not limited to, network monitoring, cloud system monitoring, and employee cybersecurity awareness training. Training topics include how to escalate suspicious activities including phishing, viruses, spams, insider threats, suspect human behaviors or safety issues.</w:t>
      </w:r>
    </w:p>
    <w:p>
      <w:pPr>
        <w:spacing w:after="0" w:line="19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Our processes also include assessing cybersecurity risks associated with our use of third-party services providers in the normal course of business use. We assess cybersecurity considerations in the selection and oversight of our third-party services providers, including due diligence on the third parties that have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 to our systems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18"/>
          <w:szCs w:val="18"/>
          <w:color w:val="auto"/>
        </w:rPr>
        <w:t>There have not been any risks from cybersecurity threats, including as a result of any cybersecurity incidents, which have materially affected or are reasonably likely to materially affect our Company, including our business strategy, results of operations, or financial condition. Refer to “Item 1A. Risk factors” in this annual report on Form 10-K, including “Our internal computer systems or those of our development collaborators, third-party CDMOs, or other contractors or consultants may fail or suffer cybersecurity or other security breaches, which could result in a material disruption of our product development programs and cause our business and operations to suffer. We face risks related to our collection and use of data, which could result in investigations, inquiries, litigation, fines, legislative and regulatory action, and negative press about our privacy and data protection practices”, for additional discussion about cybersecurity-related risks.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Governance</w:t>
      </w:r>
    </w:p>
    <w:p>
      <w:pPr>
        <w:spacing w:after="0" w:line="22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The Company's Associate Vice President of IT &amp; Facilities is responsible for overseeing the cybersecurity risk management program. He has over 20 years of IT management, cybersecurity, and information governance experience. In order to monitor and appropriately escalate cybersecurity risks, our Associate Vice President of IT &amp; Facilities receives reports on a monthly basis, and more frequently as appropriate, from our third-party cybersecurity vendor.</w:t>
      </w:r>
    </w:p>
    <w:p>
      <w:pPr>
        <w:spacing w:after="0" w:line="198"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8"/>
          <w:szCs w:val="18"/>
          <w:color w:val="auto"/>
        </w:rPr>
        <w:t>Our Board of Directors' role in risk oversight is consistent with our leadership structure, with management having day-to-day responsibility for assessing and managing our risk exposure and our Board actively overseeing the management of our risks both at the Board and Committee level. The Board conducts its risk oversight by receiving reports from each of the Committees and our executive officers regarding our risk identification, risk management, and risk mitigation strategies with respect to areas of potential material risk, including cybersecurity risk. The Board has delegated to the Audit Committee of the Board primary responsibility for overseeing risks from cybersecurity threats. The Company's Associate Vice President of IT &amp; Facilities briefs the Audit Committee on the Company’s cybersecurity risk management program on an approximately quarterly basis, using risk assessment reports from our third-party cybersecurity vendor. The briefing includes discussion of management’s actions to identify and detect threats, as well as planned actions in the event of a response or recovery situation.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properties are located in Malvern, Pennsylvania, including our corporate headquarters, which consist of approximately 28,488 square feet of leased office space, and our current GMP facility, which consists of approximately 16,401 square feet. of laboratory and future manufacturing space. Our corporate headquarters has initial terms of approximately seven years and include options to extend the leases for up to 10 years. Our current GMP facility has initial terms of seven years and includes an option to extend the lease for up to 5 years, which the Company has elected to account for since it is reasonably certain that the Company will exercise such option.</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legal proceedings, see Note 15 in the notes to the consolidated financial statements included elsewhere in this Annual Report on Form 10-K. This discussion is incorporated herein by reference.</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Shareholder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"OCGN."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9, 2024, we had 257.3 million shares of common stock outstanding held by approximately 23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We currently anticipate that we will retain future earnings, if any, to fund our operations and do not anticipate declaring or paying any cash dividends for the foreseeable future. As a result, we anticipate that only the appreciation of the price of our common stock, if any, will provide a return to investors for at least the foreseeable future.</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December 31, 2023, we did not repurchase any shares of our common stock.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consolidated financial statements and the notes thereto included elsewhere in this Annual Report on Form 10-K. Some of the information contained in this discussion and analysis, including information with respect to our plans and strategy for our business and related financing, include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Except as required by law, we undertake no obligation to publicly update these forward-looking statements, whether as a result of new information, future events, or otherwise. You should read the "Risk Factors" and "Special Note Regarding Forward-Looking Statements" sections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Part II, Item 7 includes restated financial data. See "Explanatory Note."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biotechnology company focused on discovering, developing, and commercializing novel gene and cell therapies and vaccines that improve health and offer hope for patients across the globe.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technology pipeline includes:</w:t>
      </w:r>
    </w:p>
    <w:p>
      <w:pPr>
        <w:spacing w:after="0" w:line="113" w:lineRule="exact"/>
        <w:rPr>
          <w:sz w:val="20"/>
          <w:szCs w:val="20"/>
          <w:color w:val="auto"/>
        </w:rPr>
      </w:pPr>
    </w:p>
    <w:p>
      <w:pPr>
        <w:jc w:val="both"/>
        <w:ind w:left="660" w:hanging="328"/>
        <w:spacing w:after="0" w:line="254" w:lineRule="auto"/>
        <w:tabs>
          <w:tab w:leader="none" w:pos="65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Modifier Gene Therapy Platform </w:t>
      </w:r>
      <w:r>
        <w:rPr>
          <w:rFonts w:ascii="Times New Roman" w:cs="Times New Roman" w:eastAsia="Times New Roman" w:hAnsi="Times New Roman"/>
          <w:sz w:val="18"/>
          <w:szCs w:val="18"/>
          <w:color w:val="auto"/>
        </w:rPr>
        <w:t>— Based on the use of nuclear hormone receptors ("NHRs"), we believe our modifier gene therapy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potential to address many retinal diseases, including rare diseases such as retinitis pigmentosa ("RP") (OCU400) and Leber congenital amaurosis ("LCA") (OCU400), with a gene-agnostic approach. We also believe our modifier gene therapy platform has the potential to address many retinal diseases, including a multifactorial dry age-related macular degeneration ("dAMD") using OCU410, which we believe has the potential to treat millions of patients, and Stargardt disease (OCU410ST), which is also a rare disease. We received clearance from FDA to initiate a Phase 3 trial for OCU400 for the treatment of RP and intend to begin dosing patients in 2Q, 2024. We further expect to expand OCU400 Phase 3 development in LCA patients in the second half of 2024 based on Phase 1/2 study results in LCA patients and subject to alignment with the FDA. Currently both OCU410, for the treatment of geographic atrophy ("GA") patients, and OCU410ST, for the treatment of Stargardt patients, programs are in Phase 1/2 clinical development.</w:t>
      </w:r>
    </w:p>
    <w:p>
      <w:pPr>
        <w:spacing w:after="0" w:line="80"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Novel Biologic Therapy for Retinal Diseases </w:t>
      </w:r>
      <w:r>
        <w:rPr>
          <w:rFonts w:ascii="Times New Roman" w:cs="Times New Roman" w:eastAsia="Times New Roman" w:hAnsi="Times New Roman"/>
          <w:sz w:val="18"/>
          <w:szCs w:val="18"/>
          <w:color w:val="auto"/>
        </w:rPr>
        <w:t>— OCU200 is a novel fusion protein consisting of two human proteins, tumstatin and transferrin.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OCU200 possesses unique features which potentially enable it to treat vascular complications of diabetic macular edema ("DME"), diabetic retinopathy ("DR") and wet AMD. Tumstatin is the active component of OCU200 and binds to integrin receptors, which play a crucial role in disease pathogenesis. Transferrin is expected to facilitate the targeted delivery of tumstatin into the retina and choroid and potentially help increase the interaction between tumstatin and integrin receptors. We continue to work with the FDA to address comments to lift the clinical hold.</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Regenerative Medicine Cell Therapy Platform </w:t>
      </w:r>
      <w:r>
        <w:rPr>
          <w:rFonts w:ascii="Times New Roman" w:cs="Times New Roman" w:eastAsia="Times New Roman" w:hAnsi="Times New Roman"/>
          <w:sz w:val="18"/>
          <w:szCs w:val="18"/>
          <w:color w:val="auto"/>
        </w:rPr>
        <w:t>— Our Phase 3-ready regenerative medicine cell therapy platform technology, which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NeoCart (autologous chondrocyte-derived neocartilage), is being developed for the repair of knee cartilage injuries in adults. We received concurrence from the FDA on the confirmatory Phase 3 trial design and have completed renovating an existing facility into a current Good Manufacturing Practice ("GMP") facility to support clinical study and initial commercial launch.</w:t>
      </w:r>
    </w:p>
    <w:p>
      <w:pPr>
        <w:spacing w:after="0" w:line="68"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55"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Inhaled Mucosal Vaccine Platform </w:t>
      </w:r>
      <w:r>
        <w:rPr>
          <w:rFonts w:ascii="Times New Roman" w:cs="Times New Roman" w:eastAsia="Times New Roman" w:hAnsi="Times New Roman"/>
          <w:sz w:val="18"/>
          <w:szCs w:val="18"/>
          <w:color w:val="auto"/>
        </w:rPr>
        <w:t>— Our next-generation, inhaled mucosal vaccine platform includes OCU500, a COVID-19 vaccine;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OCU510, a seasonal quadrivalent flu vaccine; and OCU520, a combination quadrivalent seasonal flu and COVID-19 vaccine. We are conducting IND enabling and product development activities for our OCU500 product and planning to submit an IND in 2024. We are currently collaborating with the National Institute of Allergy and Infectious Diseases ("NIAID") for early clinical studies for the OCU500 program. We expect OCU500 clinical trials to begin mid-2024. We are continuing discussions with relevant government agencies regarding developmental funding for our OCU510 and OCU520 platforms.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Modifier Gene Therapy Platform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developing a modifier gene therapy platform designed to fulfill unmet medical needs related to retinal diseases, including inherited retinal diseases ("IRDs"), such as RP, LCA, Stargardt disease and multifactorial diseases such as dAMD and Geographic Atrophy ("GA"). Our modifier gene therapy platform is based on the use of NHRs, which have the potential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restore homeostasis — the basic biological processes in the retina from disease state to normal state. Unlike single-gene replacement therapies, which only target one genetic mutation, our modifier gene therapy platform, through its use of NHRs, represents a unique approach and has demonstrated potential to address multiple retinal diseases caused by mutations in multiple genes in our Phase 1/2 clinical study. This has potential of a gene-agnostic therapy addressing complex diseases that are potentially caused by imbalances in multiple gene networks in the disease condition. OCU400, our first product candidate in our modifier gene therapy platform, has received Orphan Drug Designation ("ODD") from the United States Food and Drug Administration ("FDA") for RP and LCA, a regenerative medicine advanced therapy ("RMAT") designation to OCU400 for the treatment of RP associated with NR2E3 and rhodopsin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mutations from the FDA, and Orphan Medicinal Product Designation ("OMPD") from the European Commission ("EC"), based on the recommendation of the European Medicines Agency ("EMA"), for RP and LCA. These broad ODD, RMAT, and OMPD designations further support broad-spectrum (gene agnostic) therapeutic potential of OCU400 to treat multiple IRDs such as RP and LCA associated with mutations in multiple genes.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completed enrolling, dosing, and recruiting RP and LCA patients in the Phase 1/2 trial for OCU400. The objective of this study was to assess the safety and efficacy using 3 different treatment doses of unilateral subretinal administration of OCU400 in NR2E3 and rhodopsin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-related </w:t>
      </w:r>
      <w:r>
        <w:rPr>
          <w:rFonts w:ascii="Times New Roman" w:cs="Times New Roman" w:eastAsia="Times New Roman" w:hAnsi="Times New Roman"/>
          <w:sz w:val="18"/>
          <w:szCs w:val="18"/>
          <w:i w:val="1"/>
          <w:iCs w:val="1"/>
          <w:color w:val="auto"/>
        </w:rPr>
        <w:t>RP</w:t>
      </w:r>
      <w:r>
        <w:rPr>
          <w:rFonts w:ascii="Times New Roman" w:cs="Times New Roman" w:eastAsia="Times New Roman" w:hAnsi="Times New Roman"/>
          <w:sz w:val="18"/>
          <w:szCs w:val="18"/>
          <w:color w:val="auto"/>
        </w:rPr>
        <w:t xml:space="preserve"> patients and centrosomal protein 290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-related LCA patients in the United States.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February 2024, in continuation of the preliminary analyses update, we announced an update for 18 participants. The trial update was an extension of the positive preliminary data from September 2023. The positive trial update demonstrated that OCU400 continued to be generally safe and well-tolerated in subjects across different mutations and dose levels. 89% of participants demonstrated preservation or improvement in OCU400 treated eyes either on BCVA or LLVA or MLMT scores from baseline. 78% of participants demonstrated stabilization or improvement in OCU400 treated eyes in MLMT scores from baseline. 80% of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mutation subjects experienced either stabilization or increase in MLMT scores from baseline.</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April 2024, the FDA cleared our IND amendment to initiate a Phase 3 trial of OCU400 for RP. OCU400 is the first gene therapy program to enter Phase 3 with a broad RP indication. This Phase 3 trial will enroll 150 subjects, distributed 1:1 into two separate arms (RHO: N=75, and Gene Agnostic: N=75). In each arm subjects will be further randomized into 2:1 ratio to treated and untreated control groups. Subjects will be followed for a year after dosing for primary end point analyses. In the Phase 1/2 OCU400 clinical trial a MLMT scale was the primary functional endpoint. For the Phase 3 OCU400 clinical trial, an updated mobility course will be used, Luminance Dependent Navigation Assessment ("LDNA") that includes a wider range of light intensity (0.04-500 Lux) and Lux Levels (0-9) with a uniform correlation between Lux level and Lux intensity.</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April 2024, the Committee for Medicinal Products for Human Use (CHMP) of the European Medicines Agency (EMA) reviewed the study design, endpoints and planned statistical analysis of the pivotal OCU400 Phase 3 liMeliGhT clinical trial for retinitis pigmentosa (RP) and provided acceptability of the U.S. based trial for submission of a Marketing Authorization Application (MAA). The EMA provided this opinion based on safety, tolerability, and efficacy of OCU400 demonstrated in the Phase 1/2 study.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begin dosing patients in Phase 3 trial for OCU400 for the treatment of RP in 2Q, 2024. Subsequently, we expect to expand OCU400 Phase 3 development in LCA patients in the second half of 2024 based on Phase 1/2 study results in LCA patients and subject to alignment with the FDA.</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developing OCU410 and OCU410ST, utilizing the nuclear receptor genes RAR-related orphan receptor A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the treatment of dAMD and Stargardt disease, respectively. OCU410 is a potential one-time, curative therapy with a single sub-retinal injection. OCU410 targets multiple pathways associated with AMD pathogenesis, in contrast to currently approved or under development products, and has potential to provide better safety and efficacy outcomes. OCU410ST has received ODD from the FDA for the treatment of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-associated retinopathies, including Stargardt disease.</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Currently both OCU410 and OCU410ST programs are in Phase 1/2 clinical development, actively enrolling patients. In November 2023, the first patient was dosed in the Phase 1/2 trial to assess the safety and efficacy of OCU410ST for Stargardt disease. In February 2024, we announced dosing was completed in the first cohort of Phase 1/2 study. Phase 1 is a multicenter, open-label, dose ranging study. Phase 2 is a randomized, outcome accessor-blinded, dose-expansion study in which adult and pediatric subjects will be randomized in a 1:1:1 ratio to either one of two OCU410ST dose groups or to an untreated control group. In April 2024, we announced that the Data Safety and Monitoring Board ("DSMB") approved to proceed dosing with the medium dose of OCU410ST in the dose-escalation phase of the study. Three patients with Stargardt disease have been dosed in the Phase 1/2 trial to date. An additional three patients will be dosed with the medium dose in the second cohort and three patients with the high dose in the third cohort in the dose-escalation phase.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first patient was dosed in the Phase 1/2 trial to assess the safety and efficacy of OCU410 for geographic atrophy ("GA") secondary to dAMD. In March 2024, we announced dosing was completed in the first cohort of Phase 1/2 study. Phase 1 is a multicenter, open-label, dose-ranging study. Phase 2 is a randomized expansion phase in which subjects will be randomized in a 1:1:1 ratio to either one of two OCU410 dose groups or to an untreated control group. In April 2024, we announced that the Data Safety and Monitoring Board ("DSMB") approved to proceed dosing with the medium dose of OCU410 in the dose-escalation phase of the study. Three patients with GA have been dosed in the Phase 1/2 trial to date. An additional three patients will be dosed with the medium dose in the second cohort and three patients with the high dose in the third cohort in the dose-escalation phase.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Biologic Therapy for Retinal Diseases</w:t>
      </w:r>
    </w:p>
    <w:p>
      <w:pPr>
        <w:spacing w:after="0" w:line="243"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We are developing OCU200, which is a novel fusion protein containing parts of human transferrin and tumstatin. OCU200 is designed to treat DME, DR, and Wet AMD. We have completed the technology transfer of manufacturing processes to our contract development and manufacturing organization ("CDMO") and have produced trial materials to initiate a Phase 1 trial. In April 2023, the FDA placed our IND application to initiate a Phase 1 trial targeting DME on clinical hold, as part of the FDA's request for additional information related to CMC. We have submitted a response to the FDA with additional information. We continue to work with the FDA to address comments to lift the clinical hold.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Regenerative Medicine Cell Therapy Platform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NeoCart is a Phase 3-ready, regenerative medicine cell therapy technology that combines breakthroughs in bioengineering and cell processing to enhance the autologous cartilage repair process. NeoCart is a three-dimensional tissue-engineered disc of new cartilage that is manufactured by growing the patient's own chondrocytes, the cells responsible for maintaining cartilage health. Current surgical and nonsurgical treatment options are limited in their efficacy and durability. In prior clinical studies, Phase 2 and Phase 3, NeoCart has shown potential to accelerate healing, reduce pain, and provide regenerative native-like cartilage strength with durable benefits post transplantation. NeoCart was shown to be generally well-tolerated and demonstrated greater clinical efficacy than microfracture surgery at two years after treatment. Based on this clinical benefit, the FDA granted a RMAT designation to NeoCart for the repair of full-thickness lesions of knee cartilage injuries in adults. Additionally, we received concurrence from the FDA on the confirmatory Phase 3 trial design where chondroplasty will be used as a control group. We have completed renovating an existing facility into a current Good Manufacturing Practice ("GMP") facility in accordance with the FDA's regulations in support of NeoCart manufacturing for personalized Phase 3 trial material. We intend to initiate the Phase 3 trial in the second half of 2024, contingent on adequate availability of funding.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Inhaled Mucosal Vaccine Platform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party to an exclusive license agreement (as amended, "WU License Agreement") with The Washington University in St. Louis ("Washington University"), pursuant to which we licensed the rights to develop, manufacture, and commercialize an inhaled mucosal COVID-19 vaccine for the prevention of COVID-19 in the United States, Europe, Japan, South Korea, Australia, China, and Hong Kong (the "Mucosal Vaccine Territory"). In addition, we internally developed technology related to the flu and COVID-19's vaccine design and filed intellectual property. We are developing a next-generation, inhalation-based mucosal vaccine platform based on a novel ChAd vector, which includes OCU500, a COVID-19 vaccine; OCU510, a seasonal quadrivalent flu vaccine; and OCU520, a combination quadrivalent seasonal flu and COVID-19 vaccine. Our inhaled mucosal vaccine platform is driven by our conviction to serve a public health concern, which requires the endorsement and support of government funding in order to develop and ultimately commercialize our vaccine candidates. As these vaccine candidates are being developed to be administered via inhalation, we believe they have the potential to generate rapid local immune response in the upper airways and lungs, where viruses enter and infect the body. We believe this novel delivery route may help reduce or prevent infection and transmission as well as provide protection against new virus variants. In October 2023, OCU500 was selected by the NIAID Project NextGen for inclusion in clinical trials. OCU500 will be tested via two different mucosal routes, inhalation into the lungs and as a nasal spray. The clinical trials are expected to begin mid-2024. We are continuing discussions with relevant government agencies regarding developmental funding for our OCU510 and OCU520 platforms.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generated revenue from our product candidates to date and have incurred net losses in each year since inception. We expect to continue to incur net losses until our product candidates, if approved, are successfully commercialized. We incurred net losses of approximately $63.1 million and $86.8 million for the years ended December 31, 2023 and 2022, respectively. As of December 31, 2023, we had an accumulated deficit of $286.2 million and cash and cash equivalents balance of $39.5 million. Substantially all of our net losses resulted from expenses incurred in connection with our research and development programs and from general and administrative costs associated with our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we viewed our operations and managed our business as one operating segment consistent with how our chief operating decision-maker, our Chief Executive Officer, makes decisions regarding resource allocation and assessing performance. As of December 31, 2023, substantially all of our assets were located in the United States. Our headquarters are located in Malvern, Pennsylvania.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expensed as incurred. These costs consist of internal and external expenses, as well as depreciation expense on assets used within our research and development activities. Internal expenses include the cost of salaries, benefits, and other related costs, including stock-based compensation, for personnel serving in our research and development functions, as well as allocated rent and utilities expenses. External expenses include development, clinical trials, patent costs, and regulatory compliance costs incurred with research organizations, contract manufacturers, and other third-party vendors. License fees paid to acquire access to proprietary technology are expensed to research and development, unless it is determined that the technology is expected to have an alternative future use. We record costs for certain development activities, such as preclinical studies and clinical trials, based on our evaluation of the progress to completion of specific tasks. Payments for these activities are based on the terms of the individual arrangements, which may differ from the pattern of costs incurred, and are reflected in the consolidated financial statements as prepaid or accrued research and development expense, as applicable. Our recording of costs for certain development activities requires us to use estimates. We believe our estimates and assumptions are reasonable under the current conditions; however, actual results may differ from these estimates. Our research and development expenses are not currently tracked on a program-by-program basis for indirect and overhead costs. We use our personnel and infrastructure resources across multiple research and development programs directed toward identifying, developing, and commercializing product candidates.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We plan to incur research and development expenses for the foreseeable future as we expect to continue the development of our product candidates. We anticipate that our research and development expenses will be lower in fiscal year 2024 as compared to fiscal year 2023 due to a reduced headcount as well as internal cost saving initiatives.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this time, due to the inherently unpredictable nature of preclinical and clinical developments as well as regulatory approval, we are unable to estimate with any certainty the costs we will incur and the timelines we will require in our continued development and commercialization efforts. As a result of these uncertainties, the successful development and completion of clinical trials as well as the regulatory approval process are uncertain and may not result in approved and commercialized products. Completion dates and completion costs can vary significantly for each product candidate and are difficult to predict. We will continue to make determinations as to which product candidates to pursue and how much funding to direct to each product candidate on an ongoing basis in response to our ability to enter into partnerships with respect to each product candidate and the scientific and clinical success of each product candidate as well as ongoing assessments as to the commercial potential of each product candidate.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expenses, including salaries, benefits, insurance, and stock-based compensation expense, for employees in executive, accounting, commercialization, human resources, and other administrative functions. General and administrative expense also includes expenses related to pre-commercial activities, corporate facility costs, such as allocated rent and utilities, insurance premiums, legal fees related to corporate matters, and fees for auditing, accounting, and other consulting services.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decrease in fiscal year 2024 as compared to fiscal year 2023 due to a lower headcount and a decrease in legal expenses.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years ended December 31, 2023 and 2022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500" w:type="dxa"/>
            <w:vAlign w:val="bottom"/>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6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1"/>
        </w:trPr>
        <w:tc>
          <w:tcPr>
            <w:tcW w:w="6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Collaborative arrangement revenue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(16,586)</w:t>
            </w: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r>
      <w:tr>
        <w:trPr>
          <w:trHeight w:val="22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(19,992)</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23,540</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following table provides more transparency as to the type of research and development expenses incurred. The following table summarizes our research and development expenses by product candidate for the years ended December 31, 2023 and 2022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00" w:type="dxa"/>
            <w:vAlign w:val="bottom"/>
          </w:tcPr>
          <w:p>
            <w:pPr>
              <w:spacing w:after="0"/>
              <w:rPr>
                <w:sz w:val="17"/>
                <w:szCs w:val="17"/>
                <w:color w:val="auto"/>
              </w:rPr>
            </w:pPr>
          </w:p>
        </w:tc>
        <w:tc>
          <w:tcPr>
            <w:tcW w:w="3500" w:type="dxa"/>
            <w:vAlign w:val="bottom"/>
            <w:gridSpan w:val="6"/>
          </w:tcPr>
          <w:p>
            <w:pPr>
              <w:ind w:left="8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5"/>
        </w:trPr>
        <w:tc>
          <w:tcPr>
            <w:tcW w:w="6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6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OCU400</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OCU410 and OCU410ST</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NeoCart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COVAXIN</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Inhaled mucosal vaccine platform</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OCU200</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r>
      <w:tr>
        <w:trPr>
          <w:trHeight w:val="23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costs: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personnel costs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Facilities and other support costs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6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arrangement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Collaborative arrangement revenue increased by $3.5 million for the year ended December 31, 2023 compared to the year ended December 31, 2022. The increase was due to the amount of co-development services provided by us to the business partner in the collaboration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decreased by $16.6 million for the year ended December 31, 2023 compared to the year ended December 31, 2022. The decrease was primarily due to $9.6 million related to the termination of the COVAXIN program, $4.2 million related to OCU200, which is driven by a decrease in preclinical activities, $2.8 million related to OCU400, which is driven by a decrease in co-development services provided by our collaboration arrangements business partner. These decreases were partially offset by an increase of $0.9 million related to NeoCart, driven by CMC activities.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decreased by $3.4 million for the year ended December 31, 2023 compared to the year ended December 31, 2022. The decrease was primarily due to $1.9 million in consulting expenses; $1.7 million in pre-commercial expenses; $1.4 million in non-recurring office expenses incurred in connection with the opening of our corporate headquarters; $0.7 million in insurance expense; and $0.5 million in employee related expenses. These decreases were partially offset by increases of $2.8 million in legal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increased by $0.2 million for the year ended December 31, 2023 compared to the year ended December 31, 2022. The increase was primarily due to $1.1 million in interest earned on our cash and cash equivalents balance which was offset by a decrease of $0.9 million related to a note receivable that was received during the year ended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we had $39.5 million in cash and cash equivalents. We have not generated revenue from our product candidates to date, and have primarily funded our operations to date through the sale of common stock, warrants to purchase common stock, the issuance of convertible notes and debt, and grant proceeds. Since our inception and through December 31, 2023, we have raised an aggregate of $301.0 million to fund our operations, of which $287.2 million is from gross proceeds from the sale of our common stock and warrants, $10.3 million is from the issuance of convertible notes, $3.3 million is from the issuance of debt, and $0.2 million is from grant proceeds.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issued and sold 30.0 million shares of our common stock at a public offering price of $0.50 per share pursuant to a May 2023 public offering (the "May 2023 Public Offering"). We received net proceeds of $14.8 million after deducting equity issuance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sold 4.5 million shares of our common stock under an At Market Issuance Sales Agreement ("the Sales Agreement") and received net proceeds of $5.6 million after deducting equity issuance costs of $0.2 million. The Sales Agreement was terminated in February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 resources to research and development and have incurred significant net losses and may continue to incur net losses in the future. We incurred net losses of approximately $63.1 million and $86.8 million for the years ended December 31, 2023 and 2022, respectively. As of December 31, 2023, we had an accumulated deficit of $286.2 million. In addition, as of December 31, 2023, we had accounts payable and accrued expenses and other current liabilities of $16.5 million, lease liability of $4.1 million, and indebtedness of $2.8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year ended December 31, 2023 and the year ended December 31, 2022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380" w:type="dxa"/>
            <w:vAlign w:val="bottom"/>
            <w:gridSpan w:val="5"/>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4"/>
        </w:trPr>
        <w:tc>
          <w:tcPr>
            <w:tcW w:w="7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1"/>
        </w:trPr>
        <w:tc>
          <w:tcPr>
            <w:tcW w:w="78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8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(60,079)</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59,475</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changes in exchange rate on cash, cash equivalents, and restricted cash</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was $62.1 million for the year ended December 31, 2023, and primarily consisted of a net loss of $63.1 million adjusted for non-cash items including stock-based compensation of $9.2 million, impairment of advance for COVAXIN supply of $4.1 million, depreciation and amortization of $0.7 million, non-cash lease expense of $0.5 million, other non-cash items of $0.4 million, and a change in net working capital of $13.1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was $60.1 million for the year ended December 31, 2022, and primarily consisted of a net loss of $86.8 million adjusted for non-cash items including stock-based compensation of $10.5 million, non-cash lease expense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 million, depreciation and amortization of $0.5 million, other non-cash items of $5.9 million, and a change in net working capital of $9.2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investing activities was $3.1 million for the year ended December 31, 2023 compared to cash used in investing activities of $17.0 million for the year ended December 31, 2022. The increase in cash provided by investing activities was primarily driven by gross proceeds of $17.5 million from the maturities of marketable securities as well as a decrease in purchases of marketable securities of $9.3 million, classified as available-for-sale, during the year ended December 31, 2023. This increase was partially offset by an increase of $6.0 million in purchases of property and equipment during the year ended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$20.9 million for the year ended December 31, 2023 compared to $59.5 million for the year ended December 31, 2022. During the year ended December 31, 2023, cash provided by financing activities primarily consisted of gross proceeds of a combined $20.8 million received from the May 2023 Public Offering and pursuant to the Sales Agreement. During the year ended December 31, 2022, cash provided financing activities primarily consisted of gross proceeds of $50.0 million received from our underwritten offering that closed in February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and Development Agreements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obligations under certain license and development agreements for our product candidates including annual payments, payments upon the achievement of certain milestones, and royalty payments based on net sales of licensed products. See Note 3 in the notes to the consolidated financial statements included in elsewhere in this Annual Report on Form 10-K for information regarding our obligations under licensing and development agreements.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obligations under our operating leases, which include leased office, laboratory, and future manufacturing space, located in Malvern, Pennsylvania. As of December 31, 2023, we had future minimum operating lease base rent payment obligations of $5.8 million, with $0.8 million payable within 12 months of December 31, 2023. See Note 7 in the notes to the consolidated financial statements included elsewhere in this Annual Report on Form 10-K for information regarding our obligations under lease obligations.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outstanding debt related to the funds borrowed from EB5 Life Sciences, L.P. ("EB-5 Life Sciences") pursuant to the U.S. government's Immigrant Investor Program, commonly known as the EB-5 program. Pursuant to the loan agreement entered into with EB-5 Life Sciences, we have borrowed $2.5 million to date. See Note 9 in the notes to the consolidated financial statements included elsewhere in this Annual Report on Form 10-K for information regarding our obligations under the EB-5 loan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in our Quarterly Report on Form 10-Q for the quarter ended March 31, 2023 (the "First Quarter 10-Q"), we determined it was no longer commercially viable to further the development of COVAXIN, a monovalent COVID-19 vaccine, in our North American territories as the FDA cancelled all EUAs issued with respect to monovalent COVID-19 vaccine formulations. Accordingly, in June 2023, the Canada Consulting Agreement was terminated by mutual agreement (see Note 11)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continue to incur significant expenses in connection with our ongoing activities, particularly as we continue research and development, including preclinical and clinical development of our product candidates, prepare to manufacture our product candidates, prepare for the potential commercialization of our product candidates, add operational, financial, and information systems to execute our business plan, maintain, expand, and protect our patent portfolio, explore strategic licensing,</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acquisition, and collaboration opportunities to expand our product candidate pipeline to support our future growth; expand headcount to support our development, commercialization, and business efforts, and operate as a public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impacting our future funding requirements include, without limitation, the following:</w:t>
      </w:r>
    </w:p>
    <w:p>
      <w:pPr>
        <w:spacing w:after="0" w:line="117"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trials for our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and submission of Investigational New Drug applications, or INDs, with the FDA for current and future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the regulatory approval process for our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commercialization;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doing business internationally with respect to the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or in-licensing of additional product candidates and technologies;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infrastructure to support our development, commercialization, and business efforts, including the costs related to the development of a laboratory and manufacturing facility;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recruiting and retaining skilled personnel;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product candidates, or technologies and out-license our product candidates;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turmoil, macroeconomic conditions, social unrest, political instability, terrorism, or other acts of war.</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2023, we had cash and cash equivalents of approximately $39.5 million. This amount will not meet our capital requirements over the next 12 months. We believe that our cash and cash equivalents will enable us to fund our operations into the fourth quarter of 2024. Due to the inherent uncertainty involved in making estimates and the risks associated with the research, development, and commercialization of biotechnology products, we may have based this estimate on assumptions that may prove to be wrong, and our operating plan may change as a result of many factors currently unknown to us. We will need to raise significant additional capital in order to fund our operations until we recognize significant revenue from product sales. Our management is currently evaluating different strategies to obtain the funding required for our future operations. These strategies may include, but are not limited to: public and private placements of equity and/or debt, payments from potential strategic research and development arrangements, sales of assets, licensing and/or collaboration arrangements with pharmaceutical companies or other institutions, funding from the government, particularly for the development of our novel inhaled mucosal vaccine platform, or funding from other third parties. Our ability to secure funding is subject to numerous risks and uncertainties, including, but not limited to the impact of the geopolitical turmoil, macroeconomic conditions, and the impact of inflation and as a result, there can be no assurance that these funding efforts will be successful. If we cannot obtain the necessary funding, we will need to delay, scale back, or eliminate some or all of our research and development programs and commercialization efforts; consider other various strategic alternatives, including a merger or sale; or cease operations. If we cannot expand our operations or otherwise capitalize on our business opportunities because we lack sufficient capital, our business, financial condition, and results of operations could be materially adversely affected.</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these factors, together with the anticipated continued spending that will be necessary to continue to research, develop, and commercialize our product candidates, there is substantial doubt about our ability to continue as a going concern within one year after the date that the consolidated financial statements included in this Annual Report on Form 10-K are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have any off-balance sheet arrangements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("GAAP"). The preparation of our financial statements requires us to make estimates and judgments that affect the reported amounts of assets and liabilities, disclosure of contingent assets and liabilities at the date of the consolidated financial statements, and the reported amounts of expenses during the reported period.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and conditions.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the consolidated financial statements included elsewhere in this Annual Report on Form 10-K, we believe that the following accounting policies and estimates are those most critical to the preparation of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Clinical Trial Accruals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the consolidated financial statements included elsewhere in this Annual Report on Form 10-K, we are required to estimate and record expenses, for which a large portion are research and development expenses. Research and development expenses include, among other categories, development, clinical trials, patent costs, and regulatory compliance costs incurred with research organizations, contract manufacturers, and other third-party vendors. The estimation process involves identifying services that have been performed on our behalf by third-parties, estimating and accruing expenses in our consolidated financial statements based on the evaluation of the progress to completion of specific tasks and the facts and circumstances known to us at the time of the estimate, and assessing the accuracy of these estimates going forward to determine if adjustments are required. We periodically collaborate with our third-party vendors to assist in determining our estimates. Payments for these activities performed by our third-party vendors are based on the terms of the individual arrangements with our third-party vendors, which may differ from the pattern of costs incurred, and are reflected in the consolidated financial statements as prepaid or accrued research and development expense, as applicable. We believe our estimates and assumptions are reasonable under the current conditions; however, actual results may differ from these estimates. Any changes to estimates will be recorded in the period in which a circumstance causing a change in estimate becomes known and the impact of any change in estimate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 and Revenue Recognition</w:t>
      </w:r>
    </w:p>
    <w:p>
      <w:pPr>
        <w:spacing w:after="0" w:line="24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 xml:space="preserve">The Company analyzes its collaborative arrangements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This assessment is performed throughout the life of the arrangements based on changes to the arrangements. For collaborative arrangements within the scope of ASC 808 the Company may analogize to ASC 606 for certain elements.</w:t>
      </w:r>
    </w:p>
    <w:p>
      <w:pPr>
        <w:spacing w:after="0" w:line="206"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8"/>
          <w:szCs w:val="18"/>
          <w:color w:val="auto"/>
        </w:rPr>
        <w:t>The Company identifies the goods or services promised within each collaborative arrangement and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entity’s promise to transfer the good or service to the customer is separately identifiable from other promises in the contract.</w:t>
      </w:r>
    </w:p>
    <w:p>
      <w:pPr>
        <w:spacing w:after="0" w:line="213"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The allocation of the transaction price to the performance obligations in proportion to their standalone selling prices is determined at contract inception.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spacing w:after="0" w:line="21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recognizes as revenue the amount of the transaction price that is allocated to the respective performance obligation as each performance obligation is satisfied over time, with progress toward completion measured based on actual</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costs incurred relative to total estimated costs to be incurred over the life of the contract. Significant management judgment is required in determining the level of effort required under an arrangement and the period over which the Company is expected to complete their performance obligations under the arrangements. The Company evaluates the measure of progress each reporting period and, if necessary, adjusts the measure of performance and related revenue recognition. Adjustments to original estimates will be required as work progresses and additional information becomes known, even though the scope of the work required under the contract may not change. Any adjustment as a result of a change in estimates is made when facts develop, events become known, or an adjustment is otherwise warranted.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account for our stock-based compensation awards in accordance with the Financial Accounting Standards Board ("FASB") Accounting Standards Codification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We have issued stock-based compensation awards including stock options and restricted stock units ("RSUs"), and we also account for certain issuances of preferred stock and warrants in accordance with ASC 718. ASC 718 requires all stock-based payments, including grants of stock options and RSUs, to be recognized in the consolidated statements of operations and comprehensive loss based on their grant date fair values. We use the Black-Scholes option-pricing model to determine the fair value of options granted. The fair value of the RSUs is determined by the market price of a share of our common stock on the grant date. We recognize forfeitures as they occur.</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Expense related to stock-based compensation awards subject to service-based vesting conditions is recognized on a straight-line basis based on the grant date fair value over the associated service period of the award, which is generally the vesting term. Stock-based awards generally vest over a one to three year requisite service period. Stock options have a contractual term of 10 years. To the extent a stock-based compensation award is subject to performance-based vesting conditions, the amount of expense recorded reflects an assessment of the probability of achieving the performance conditions. Expense for stock-based compensation awards with performance-based vesting conditions is only recognized when the performance-based vesting condition is deemed probable to occur. Expense related to stock-based compensation awards are recorded to research and development expense or general and administrative expense based on the underlying function of the individual that was granted the stock-based compensation award. Shares issued upon stock option exercise and RSU vesting are newly issued common shares.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the fair value of stock options requires the input of subjective assumptions, including the expected term of the stock option, stock price volatility, the risk-free interest rate, and expected dividends. The assumptions used in our Black-Scholes option-pricing model represent our best estimates and involve a number of variables, uncertainties, assumptions, and the application of our judgment, as they are inherently subjective. If any assumptions change, our stock-based compensation expense could be materially different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our Black-Scholes option-pricing model for stock options are as follows: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As we do not have sufficient historical exercise data to provide a reasonable basis upon which to estimate expected term, the expected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employee options is determined using the "simplified" method, as prescribed in SEC's Staff Accounting Bulletin No. 107, whereby the expected term equals the arithmetic average of the vesting term and the original contractual term of the option.</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is based on our historical volatilities and that of similar entities within our industry for periods commensurate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assumed expected term.</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interest rate payable on U.S. Treasury securities in effect at the time of grant for a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commensurate with the assumed expected term.</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Dividends. </w:t>
      </w:r>
      <w:r>
        <w:rPr>
          <w:rFonts w:ascii="Times New Roman" w:cs="Times New Roman" w:eastAsia="Times New Roman" w:hAnsi="Times New Roman"/>
          <w:sz w:val="18"/>
          <w:szCs w:val="18"/>
          <w:color w:val="auto"/>
        </w:rPr>
        <w:t>The expected dividend yield is 0% because we have not historically paid, and do not expect for the foreseeable future to pay,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on our common stock.</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was $9.2 million and $10.5 million for the years ended December 31, 2023 and 2022, respectively. As of December 31, 2023, we had $8.6 million of unrecognized stock-based compensation expense, which is expected to be recognized over a remaining weighted-average period of 1.5 years.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 in the notes to the consolidated financial statements included elsewhere in this Annual Report on Form 10-K.</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required by this item are set forth beginning on page F-1 of this report and are incorporated herein by reference. The report of our Independent Registered Public Accounting Firm, Ernst &amp; Young LLP, Public Company Accounting Oversight Board identification number 42, is also included therein.</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December 31, 2023. Based upon that evaluation, our principal executive officer and principal financial officer concluded that, as of the end of the period covered by this Annual Report on Form 10-K and as of the end of the prior year, our disclosure controls and procedures are not effective because of a material weakness related to the design and operating effectiveness of controls over the accounting for collaborative arrangements. Notwithstanding the identified material weakness, the Company’s management, including our principal executive officer and principal financial officer, has concluded the Company’s consolidated financial statements included in this Form 10-K present fairly, in all material respects, the Company’s financial condition, results of operations and cash flows at and for the periods presented in accordance with U.S. generally accepted accounting principles.</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In light of this material weakness, we performed additional analysis as deemed necessary to ensure that our financial statements were prepared in accordance with U.S. GAAP.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our financial statements for external purposes in accordance with GAAP and includes those policies and procedures that:</w:t>
      </w:r>
    </w:p>
    <w:p>
      <w:pPr>
        <w:spacing w:after="0" w:line="75"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ind w:left="980" w:right="220" w:hanging="324"/>
        <w:spacing w:after="0" w:line="312" w:lineRule="auto"/>
        <w:tabs>
          <w:tab w:leader="none" w:pos="97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31" w:lineRule="exact"/>
        <w:rPr>
          <w:rFonts w:ascii="Times New Roman" w:cs="Times New Roman" w:eastAsia="Times New Roman" w:hAnsi="Times New Roman"/>
          <w:sz w:val="17"/>
          <w:szCs w:val="17"/>
          <w:color w:val="auto"/>
        </w:rPr>
      </w:pPr>
    </w:p>
    <w:p>
      <w:pPr>
        <w:ind w:left="980" w:right="80" w:hanging="324"/>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material weakness, as defined in the SEC regulations,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Chief Executive Officer and Chief Accounting Officer, our management assessed the effectiveness of our internal control over financial reporting as of December 31, 2023 based on the criteria set forth by the Committee of Sponsoring Organizations of the Treadway Commission in Internal Control-Integrated Framework of 2013. Based on this assessment, management concluded that our internal control over financial reporting was not effective as of December 31, 2023 and December 31, 2022 as a result of a material weakness related to the design and operating effectiveness of controls over the accounting for collaborative arrangements. Specifically, we did not effectively design and operate controls over the technical accounting analysis, the determination of the transaction price, calculating the progress towards the satisfaction of the performance obligations under the collaborative arrangements, and determining the value of the non-cash consideration received.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report does not include an attestation report on internal control over financial reporting by the Company’s independent registered public accounting firm since the Company is a smaller reporting company under the rules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w:t>
      </w:r>
    </w:p>
    <w:p>
      <w:pPr>
        <w:spacing w:after="0" w:line="25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 xml:space="preserve">In order to remediate the material weakness, the Company's management plans to improve the design and operation of their controls over the technical accounting analysis, the determination of the transaction price, calculating the progress towards the satisfaction of the performance obligations under the collaborative arrangements, and determining the value of the non-cash consideration received under collaborative arrangements. Specifically, the </w:t>
      </w:r>
      <w:r>
        <w:rPr>
          <w:rFonts w:ascii="Times New Roman" w:cs="Times New Roman" w:eastAsia="Times New Roman" w:hAnsi="Times New Roman"/>
          <w:sz w:val="18"/>
          <w:szCs w:val="18"/>
          <w:color w:val="242424"/>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plans to implement the following: dedicating personnel resources with the appropriate level of proficiency to review any new arrangements on a timely basis; obtaining relevant information from third parties on a timely basis, including actual costs incurred, actual noncash consideration received, and estimates to complete; and increasing the level of review activities over the accounting for collaborative arrangements during the financial statement close process</w:t>
      </w:r>
      <w:r>
        <w:rPr>
          <w:rFonts w:ascii="Times New Roman" w:cs="Times New Roman" w:eastAsia="Times New Roman" w:hAnsi="Times New Roman"/>
          <w:sz w:val="18"/>
          <w:szCs w:val="18"/>
          <w:color w:val="000000"/>
        </w:rPr>
        <w:t>. The material weakness cannot be considered remediated until the newly designed controls operate effectively for a sufficient period of time and</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management has concluded, through testing, that the control is operating effectively.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material weakness described above, for the period ended December 31, 2023, there have been no changes in our internal control over financial reporting during our most recent fiscal quarter that has materially affected, or is reasonably likely to materially affect, our internal control over financial reporting.</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Company's three months ended December 31, 2023, no director or officer adopted or terminated any Rule 10b5-1 trading arrangement, and/or any non-Rule 10b5-1 trading arrangement (as such terms are defined pursuant to Item 408(a) of Regulation S-K).</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contained in the Proxy Statement for our 2024 Annual Meeting of Stockholders or in an amendment on Form 10-K/A, which we intend to file with the SEC within 120 days of the end of the fiscal year to which this Annual Report on Form 10-K relates.</w:t>
      </w:r>
    </w:p>
    <w:p>
      <w:pPr>
        <w:spacing w:after="0" w:line="17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(excluding the information under the heading "Pay Versus Performance") is incorporated by reference from the discussion responsive thereto contained in the Proxy Statement for our 2024 Annual Meeting of Stockholders or in an amendment on Form 10-K/A, which we intend to file with the SEC within 120 days of the end of the fiscal year to which this Annual Report on Form 10-K relates.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contained in the Proxy Statement for our 2024 Annual Meeting of Stockholders or in an amendment on Form 10-K/A, which we intend to file with the SEC within 120 days of the end of the fiscal year to which this Annual Report on Form 10-K relates.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contained in the Proxy Statement for our 2024 Annual Meeting of Stockholders or in an amendment on Form 10-K/A, which we intend to file with the SEC within 120 days of the end of the fiscal year to which this Annual Report on Form 10-K relates.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contained in the Proxy Statement for our 2024 Annual Meeting of Stockholders or in an amendment on Form 10-K/A, which we intend to file with the SEC within 120 days of the end of the fiscal year to which this Annual Report on Form 10-K relates.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financial statement schedules, and exhibits filed as part of this Annual Report on Form 10-K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Consolidated Financial Statements" beginning on page F-1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exhibits required to be filed as part of this Annual Report on Form 10-K are listed in the Exhibit Index attached hereto and are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0369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3.5</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3.7</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3.8</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26670</wp:posOffset>
            </wp:positionV>
            <wp:extent cx="60350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84"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Sixth Amended and Restated Certificate of Incorporation (filed as Exhibit 3.1 to the Registrant's Current Report on Form 8-K as</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filed on December 8, 2014, and incorporated herein by reference)</w:t>
        </w:r>
      </w:hyperlink>
    </w:p>
    <w:p>
      <w:pPr>
        <w:spacing w:after="0" w:line="68"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Amendment to Sixth Amended and Restated Certificate of Incorporation related to the Reverse Stock Split and the Authorized</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Share Increase (filed as Exhibit 3.1 to the Registrant's Current Report on Form 8-K as filed October 1, 2019, and incorporated</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Amendment to Sixth Amended and Restated Certificate of Incorporation related to the Name Change (filed as Exhibit 3.2 to the</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Registrant's Current Report on Form 8-K as filed on October 1, 2019, and incorporated herein by reference)</w:t>
        </w:r>
      </w:hyperlink>
    </w:p>
    <w:p>
      <w:pPr>
        <w:spacing w:after="0" w:line="68"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Amendment to Sixth Amended and Restated Certificate of Incorporation related to the Increase in Authorized Shares of Common</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Stock (filed as Exhibit 3.1 to the Registrant's Quarterly Report on Form 10-Q as filed on May 7, 2021, and incorporated herein by</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Certificate of Designation of Preferences, Rights and Limitations of Series A Convertible Preferred Stock of Histogenics</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Corporation (filed as Exhibit 3.3 to the Registrant's Current Report on Form 8-K as filed on September 16, 2016, and incorporated</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Certificate of Designation of Preferences, Rights and Limitations of Series B Convertible Preferred Stock of Ocugen, Inc. (filed as</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Exhibit 3.5 to the Registrant's Annual Report on Form 10-K filed on March 19, 2021 and incorporated herein by reference)</w:t>
        </w:r>
      </w:hyperlink>
    </w:p>
    <w:p>
      <w:pPr>
        <w:spacing w:after="0" w:line="6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Second Amended and Restated Bylaws of Ocugen, Inc. (filed as Exhibit 3.1 to the Registrant's Quarterly Report on Form 10-Q as</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filed on August 21, 2023, and incorporated herein by reference)</w:t>
        </w:r>
      </w:hyperlink>
    </w:p>
    <w:p>
      <w:pPr>
        <w:spacing w:after="0" w:line="6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Amendment to Second Amended and Restated Bylaws of Ocugen, Inc. (filed as Exhibit 3.1 to the Registrant's Current Report of</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Form 8-K as filed on March 20, 2024, and incorporated herein by reference)</w:t>
        </w:r>
      </w:hyperlink>
    </w:p>
    <w:p>
      <w:pPr>
        <w:spacing w:after="0" w:line="6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Description of the Registrant's Securities Registered Pursuant to Section 12 of the Securities Exchange Act of 1934 (filed as</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Exhibit 4.1 to the Registrant's Annual Report on Form 10-K as filed on February 28, 2022, and incorporated herein by reference)</w:t>
        </w:r>
      </w:hyperlink>
    </w:p>
    <w:p>
      <w:pPr>
        <w:spacing w:after="0" w:line="6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Form of Common Stock Purchase Warrant (filed as Exhibit 4.8 to the Registrant's Annual Report on Form 10-K filed on March 19,</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2021 and incorporated herein by reference)</w:t>
        </w:r>
      </w:hyperlink>
    </w:p>
    <w:p>
      <w:pPr>
        <w:spacing w:after="0" w:line="6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Ocugen, Inc. 2014 Stock Option Plan (filed as Exhibit 10.30 to the Registrant's Registration Statement on Form S-4 (SEC File No.</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333-232147), as filed on June 14, 2019, and incorporated herein by reference)</w:t>
        </w:r>
      </w:hyperlink>
    </w:p>
    <w:p>
      <w:pPr>
        <w:spacing w:after="0" w:line="6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Form of Incentive Stock Option Agreement under Ocugen, Inc. 2014 Stock Option Plan (filed as Exhibit 10.31 to the Registrant's</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Registration Statement on Form S-4 (SEC File No. 333-232147), as filed on June 14, 2019, and incorporated herein by reference)</w:t>
        </w:r>
      </w:hyperlink>
    </w:p>
    <w:p>
      <w:pPr>
        <w:spacing w:after="0" w:line="68"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Form of Nonstatutory Stock Option Agreement under Ocugen, Inc. 2014 Stock Option Plan (filed as Exhibit 10.32 to the</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Registrant's Registration Statement on Form S-4 (SEC File No. 333-232147), as filed on June 14, 2019, and incorporated herein by</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Ocugen, Inc. 2019 Equity Incentive Plan (filed as Appendix A to the Registrant's Proxy Statement on Schedule 14A as filed on</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November 8, 2019, and incorporated herein by reference)</w:t>
        </w:r>
      </w:hyperlink>
    </w:p>
    <w:p>
      <w:pPr>
        <w:spacing w:after="0" w:line="54" w:lineRule="exact"/>
        <w:rPr>
          <w:sz w:val="20"/>
          <w:szCs w:val="20"/>
          <w:color w:val="auto"/>
        </w:rPr>
      </w:pPr>
    </w:p>
    <w:p>
      <w:pPr>
        <w:ind w:right="2520"/>
        <w:spacing w:after="0" w:line="356" w:lineRule="auto"/>
        <w:rPr>
          <w:rFonts w:ascii="Times New Roman" w:cs="Times New Roman" w:eastAsia="Times New Roman" w:hAnsi="Times New Roman"/>
          <w:sz w:val="17"/>
          <w:szCs w:val="17"/>
          <w:u w:val="single" w:color="auto"/>
          <w:color w:val="0000FF"/>
        </w:rPr>
      </w:pPr>
      <w:hyperlink r:id="rId132">
        <w:r>
          <w:rPr>
            <w:rFonts w:ascii="Times New Roman" w:cs="Times New Roman" w:eastAsia="Times New Roman" w:hAnsi="Times New Roman"/>
            <w:sz w:val="17"/>
            <w:szCs w:val="17"/>
            <w:u w:val="single" w:color="auto"/>
            <w:color w:val="0000FF"/>
          </w:rPr>
          <w:t>Form of Incentive Stock Option Agreement under Ocugen, Inc. 2019 Equity Incentive Plan</w:t>
        </w:r>
      </w:hyperlink>
      <w:r>
        <w:rPr>
          <w:rFonts w:ascii="Times New Roman" w:cs="Times New Roman" w:eastAsia="Times New Roman" w:hAnsi="Times New Roman"/>
          <w:sz w:val="17"/>
          <w:szCs w:val="17"/>
          <w:u w:val="single" w:color="auto"/>
          <w:color w:val="0000FF"/>
        </w:rPr>
        <w:t xml:space="preserve"> </w:t>
      </w:r>
      <w:hyperlink r:id="rId133">
        <w:r>
          <w:rPr>
            <w:rFonts w:ascii="Times New Roman" w:cs="Times New Roman" w:eastAsia="Times New Roman" w:hAnsi="Times New Roman"/>
            <w:sz w:val="17"/>
            <w:szCs w:val="17"/>
            <w:u w:val="single" w:color="auto"/>
            <w:color w:val="0000FF"/>
          </w:rPr>
          <w:t>Form of Non-Qualified Stock Option Agreement under Ocugen, Inc. 2019 Equity Incentive Plan</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Form of Restricted Stock Unit Grant Notice and Restricted Stock Unit Agreement under Ocugen, Inc. 2019 Equity Incentive Plan</w:t>
        </w:r>
      </w:hyperlink>
    </w:p>
    <w:p>
      <w:pPr>
        <w:spacing w:after="0" w:line="104"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Form of Performance-Vested Stock Option Agreement under Ocugen, Inc. 2019 Equity Incentive Plan (filed as Exhibit 10.2 to the</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Registrant’s Quarterly Report on Form 10-Q as filed on May 7, 2021, and incorporated herein by reference)</w:t>
        </w:r>
      </w:hyperlink>
    </w:p>
    <w:p>
      <w:pPr>
        <w:spacing w:after="0" w:line="6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Form of Non-Qualified Stock Option Agreement for Inducement Non-Qualified Stock Option Awards</w:t>
        </w:r>
      </w:hyperlink>
    </w:p>
    <w:p>
      <w:pPr>
        <w:spacing w:after="0" w:line="10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Form of Restricted Stock Unit Grant Notice and Restricted Stock Unit Agreement for Inducement Restricted Stock Unit Awards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480"/>
            <w:col w:w="9460"/>
          </w:cols>
          <w:pgMar w:left="320" w:top="337"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Exclusive License Agreement, effective as of March 3, 2014, between The Regents of the University of Colorado and Ocugen</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Opco, Inc. (filed as Exhibit 10.33 to the Registrant's Registration Statement on Form S-4 (SEC File No. 333-232147), as filed on</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June 14, 2019, and 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left="378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-1124585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480"/>
            <w:col w:w="9460"/>
          </w:cols>
          <w:pgMar w:left="320" w:top="337"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0369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10.15#</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10.22#*</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10.23#</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10.24#</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10.25#*</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10.26</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10.27+</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33655</wp:posOffset>
            </wp:positionV>
            <wp:extent cx="60350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95"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First Amendment to the Exclusive License Agreement, dated as of January 23, 2017, by and between The Regents of the</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University of Colorado and Ocugen Opco, Inc. (filed as Exhibit 10.34 to the Registrant's Registration Statement on Form S-4 (SEC</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File No. 333-232147), as filed on June 14, 2019, and 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Letter of Understanding, dated November 8, 2017, between The Regents of the University of Colorado and Ocugen Opco, Inc.</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(filed as Exhibit 10.35 to the Registrant's Registration Statement on Form S-4 (SEC File No. 333-232147), as filed on June 14,</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2019, and 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Exclusive License Agreement, effective as of December 19, 2017, between The Schepens Eye Research Institute, Inc. and Ocugen</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Opco, Inc. (filed as Exhibit 10.37 to the Registrant's Registration Statement on Form S-4 (SEC File No. 333-232147), as filed on</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June 14, 2019, and 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Co-Development, Supply and Commercialization Agreement, dated as of January 31, 2021, by and between the Registrant and</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Bharat Biotech International Limited (filed as Exhibit 10.1 to the Registrant's Quarterly Report on Form 10-Q as filed on May 7,</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2021, and 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First Amendment to Co-Development, Supply and Commercialization Agreement, dated as of May 29, 2021, by and between the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Registrant and Bharat Biotech International Limited (filed as Exhibit 10.1 to the Registrant's Quarterly Report on Form 10-Q as</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filed on August 6, 2021, and 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Second Amendment to Co-Development, Supply and Commercialization Agreement, dated as of April 15, 2022, by and between</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the Registrant and Bharat Biotech International Limited (filed as Exhibit 10.1 to the Registrant's Quarterly Report on Form 10-Q as</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filed on May 6, 2022, and 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Development and Commercial Supply Agreement, dated September 29, 2021, by and between the Registrant and Bharat Biotech</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International Limited (filed as Exhibit 10.1 to the Registrant's Quarterly Report on Form 10-Q as filed on November 9, 2021, and</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Co-Development and Commercialization Agreement, dated as of September 27, 2019, by and among the Registrant and CanSino</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Biologics Inc. (filed as Exhibit 10.2 to the Registrant's Quarterly Report on Form 10-Q as filed on November 12, 2019, and</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First Amendment to the Co-Development and Commercialization Agreement, dated September 30, 2021, by and between the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Registrant and CanSino Biologics, Inc. (filed as Exhibit 10.2 to the Registrant's Quarterly Report on Form 10-Q as filed on</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November 9, 2021, and 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Second Amendment to the Co-Development and Commercialization Agreement, dated November 21, 2022, by and between the</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Registrant and CanSino Biologics, Inc.</w:t>
        </w:r>
      </w:hyperlink>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0000FF"/>
        </w:rPr>
        <w:t>Third Amendment to the Co-Development and Commercialization Agreement, dated April 11, 2023, by and between the Registrant and CanSino Biologics, Inc.</w:t>
      </w:r>
    </w:p>
    <w:p>
      <w:pPr>
        <w:spacing w:after="0" w:line="54"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Exclusive License Agreement by and between the Registrant and The Washington University, dated as of September 23, 2022</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(filed as Exhibit 10.1 to the Registrant's Quarterly Report on Form 10-Q as filed on November 8, 2022, and incorporated herein by</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First Amendment to the Exclusive License Agreement by and between the Registrant and The Washington University, dated as of</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January 31, 2023</w:t>
        </w:r>
      </w:hyperlink>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0000FF"/>
        </w:rPr>
        <w:t>Second Amendment to the Exclusive License Agreement by and between the Registrant and The Washington University, dated as of November 28, 2023</w:t>
      </w:r>
    </w:p>
    <w:p>
      <w:pPr>
        <w:spacing w:after="0" w:line="54"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Loan and Security Agreement, effective as of September 12, 2016, by and between EB5 Life Sciences, LP and Ocugen Opco, Inc.</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(filed as Exhibit 10.42 to the Registrant's Registration Statement on Form S-4/A (SEC File No. 333-232147), as filed on July 23,</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2019, and 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Executive Employment Agreement, dated as of September 10, 2019, by and between the Registrant and Sanjay Subramanian (filed</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as Exhibit 10.3 to the Registrant's Quarterly Report on Form 10-Q as filed on November 12, 2019, and incorporated herein by</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Amendment to Executive Employment Agreement, dated as of January 1, 2020, by and between the Registrant and Sanjay</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Subramanian (filed as Exhibit 10.6 to the Registrant's Quarterly Report on Form 10-Q as filed on May 8, 2020, and incorporated</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herein by reference)</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280" w:space="480"/>
            <w:col w:w="9460"/>
          </w:cols>
          <w:pgMar w:left="320" w:top="337" w:right="359" w:bottom="1440"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235"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0369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10.30+</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10.32+</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Amended and Restated Employment Agreement, dated as of January 1, 2020, by and between the Registrant and Shankar</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Musunuri (filed as Exhibit 10.1 to the Registrant's Current Report on Form 8-K as filed on January 3, 2020, and incorporated</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herein by reference)</w:t>
        </w:r>
      </w:hyperlink>
    </w:p>
    <w:p>
      <w:pPr>
        <w:spacing w:after="0" w:line="358"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-14605</wp:posOffset>
            </wp:positionH>
            <wp:positionV relativeFrom="paragraph">
              <wp:posOffset>33655</wp:posOffset>
            </wp:positionV>
            <wp:extent cx="60350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95"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First Amendment to Amended and Restated Executive Employment Agreement, dated as of April 27, 2022, by and between the</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Registrant and Shankar Musunuri (filed as Exhibit 10.3 to the Registrant's Quarterly Report on Form 10-Q as filed on May 6, 2022,</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and 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Amended and Restated Executive Employment Agreement, dated as of March 18, 2022, by and between the Registrant and Jessica</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Crespo (filed as Exhibit 10.2 to the Registrant's Quarterly Report on Form 10-Q as filed on May 6, 2022, and incorporated herein</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Amended and Restated Executive Employment Agreement, dated as of December 16, 2021, by and between the Registrant and</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Arun Upadhyay</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First Amendment to Amended and Restated Executive Employment Agreement, dated as of August 26, 2022, by and between the</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Registrant and Arun Upadhyay</w:t>
        </w:r>
      </w:hyperlink>
    </w:p>
    <w:p>
      <w:pPr>
        <w:spacing w:after="0" w:line="40" w:lineRule="exact"/>
        <w:rPr>
          <w:sz w:val="20"/>
          <w:szCs w:val="20"/>
          <w:color w:val="auto"/>
        </w:rPr>
      </w:pPr>
    </w:p>
    <w:p>
      <w:pPr>
        <w:sectPr>
          <w:pgSz w:w="11900" w:h="16838" w:orient="portrait"/>
          <w:cols w:equalWidth="0" w:num="2">
            <w:col w:w="1280" w:space="480"/>
            <w:col w:w="9460"/>
          </w:cols>
          <w:pgMar w:left="320" w:top="337" w:right="359" w:bottom="1440" w:gutter="0" w:footer="0" w:header="0"/>
        </w:sectPr>
      </w:pPr>
    </w:p>
    <w:tbl>
      <w:tblPr>
        <w:tblLayout w:type="fixed"/>
        <w:tblInd w:w="2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94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Agreement dated as of June 22, 2012 between the Registrant and Purpose Co., Ltd. f/k/a Takagi Sangyo Co. Ltd. and f/k/a Takagi</w:t>
              </w:r>
            </w:hyperlink>
          </w:p>
        </w:tc>
      </w:tr>
      <w:tr>
        <w:trPr>
          <w:trHeight w:val="196"/>
        </w:trPr>
        <w:tc>
          <w:tcPr>
            <w:tcW w:w="1740" w:type="dxa"/>
            <w:vAlign w:val="bottom"/>
          </w:tcPr>
          <w:p>
            <w:pPr>
              <w:spacing w:after="0"/>
              <w:rPr>
                <w:sz w:val="17"/>
                <w:szCs w:val="17"/>
                <w:color w:val="auto"/>
              </w:rPr>
            </w:pPr>
          </w:p>
        </w:tc>
        <w:tc>
          <w:tcPr>
            <w:tcW w:w="94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Industrial Co., Ltd. (filed as Exhibit 10.20 to the Registrant’s Registration Statement on Form S-1 (SEC File No. 333-199202), as</w:t>
              </w:r>
            </w:hyperlink>
          </w:p>
        </w:tc>
      </w:tr>
      <w:tr>
        <w:trPr>
          <w:trHeight w:val="196"/>
        </w:trPr>
        <w:tc>
          <w:tcPr>
            <w:tcW w:w="1740" w:type="dxa"/>
            <w:vAlign w:val="bottom"/>
          </w:tcPr>
          <w:p>
            <w:pPr>
              <w:spacing w:after="0"/>
              <w:rPr>
                <w:sz w:val="17"/>
                <w:szCs w:val="17"/>
                <w:color w:val="auto"/>
              </w:rPr>
            </w:pPr>
          </w:p>
        </w:tc>
        <w:tc>
          <w:tcPr>
            <w:tcW w:w="45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filed on October 7, 2014, and incorporated herein by reference)</w:t>
              </w:r>
            </w:hyperlink>
          </w:p>
        </w:tc>
        <w:tc>
          <w:tcPr>
            <w:tcW w:w="4900" w:type="dxa"/>
            <w:vAlign w:val="bottom"/>
            <w:gridSpan w:val="5"/>
          </w:tcPr>
          <w:p>
            <w:pPr>
              <w:spacing w:after="0"/>
              <w:rPr>
                <w:sz w:val="17"/>
                <w:szCs w:val="17"/>
                <w:color w:val="auto"/>
              </w:rPr>
            </w:pPr>
          </w:p>
        </w:tc>
      </w:tr>
      <w:tr>
        <w:trPr>
          <w:trHeight w:val="30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4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First Amendment to License Agreement, dated May 9, 2016, between the Registrant and Purpose Co., Ltd., f/k/a Takagi Sangyo</w:t>
              </w:r>
            </w:hyperlink>
          </w:p>
        </w:tc>
      </w:tr>
      <w:tr>
        <w:trPr>
          <w:trHeight w:val="196"/>
        </w:trPr>
        <w:tc>
          <w:tcPr>
            <w:tcW w:w="1740" w:type="dxa"/>
            <w:vAlign w:val="bottom"/>
          </w:tcPr>
          <w:p>
            <w:pPr>
              <w:spacing w:after="0"/>
              <w:rPr>
                <w:sz w:val="17"/>
                <w:szCs w:val="17"/>
                <w:color w:val="auto"/>
              </w:rPr>
            </w:pPr>
          </w:p>
        </w:tc>
        <w:tc>
          <w:tcPr>
            <w:tcW w:w="94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Co. Ltd. (filed as Exhibit 10.33 to the Registrant’s Quarterly Report on Form 10-Q as filed on August 11, 2016, and incorporated</w:t>
              </w:r>
            </w:hyperlink>
          </w:p>
        </w:tc>
      </w:tr>
      <w:tr>
        <w:trPr>
          <w:trHeight w:val="196"/>
        </w:trPr>
        <w:tc>
          <w:tcPr>
            <w:tcW w:w="1740" w:type="dxa"/>
            <w:vAlign w:val="bottom"/>
          </w:tcPr>
          <w:p>
            <w:pPr>
              <w:spacing w:after="0"/>
              <w:rPr>
                <w:sz w:val="17"/>
                <w:szCs w:val="17"/>
                <w:color w:val="auto"/>
              </w:rPr>
            </w:pPr>
          </w:p>
        </w:tc>
        <w:tc>
          <w:tcPr>
            <w:tcW w:w="9460" w:type="dxa"/>
            <w:vAlign w:val="bottom"/>
            <w:gridSpan w:val="9"/>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herein by reference)</w:t>
              </w:r>
            </w:hyperlink>
          </w:p>
        </w:tc>
      </w:tr>
      <w:tr>
        <w:trPr>
          <w:trHeight w:val="29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List of Subsidiaries</w:t>
            </w:r>
          </w:p>
        </w:tc>
        <w:tc>
          <w:tcPr>
            <w:tcW w:w="40" w:type="dxa"/>
            <w:vAlign w:val="bottom"/>
            <w:tcBorders>
              <w:top w:val="single" w:sz="8" w:color="0000FF"/>
            </w:tcBorders>
          </w:tcPr>
          <w:p>
            <w:pPr>
              <w:spacing w:after="0"/>
              <w:rPr>
                <w:sz w:val="24"/>
                <w:szCs w:val="24"/>
                <w:color w:val="auto"/>
              </w:rPr>
            </w:pPr>
          </w:p>
        </w:tc>
        <w:tc>
          <w:tcPr>
            <w:tcW w:w="8020" w:type="dxa"/>
            <w:vAlign w:val="bottom"/>
            <w:gridSpan w:val="7"/>
          </w:tcPr>
          <w:p>
            <w:pPr>
              <w:spacing w:after="0"/>
              <w:rPr>
                <w:sz w:val="24"/>
                <w:szCs w:val="24"/>
                <w:color w:val="auto"/>
              </w:rPr>
            </w:pPr>
          </w:p>
        </w:tc>
      </w:tr>
      <w:tr>
        <w:trPr>
          <w:trHeight w:val="26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4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 to the Registrant</w:t>
            </w:r>
          </w:p>
        </w:tc>
      </w:tr>
      <w:tr>
        <w:trPr>
          <w:trHeight w:val="20"/>
        </w:trPr>
        <w:tc>
          <w:tcPr>
            <w:tcW w:w="174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7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6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7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as required by Section 302 of the Sarbanes-Oxley Act of 2002</w:t>
            </w:r>
          </w:p>
        </w:tc>
        <w:tc>
          <w:tcPr>
            <w:tcW w:w="1760" w:type="dxa"/>
            <w:vAlign w:val="bottom"/>
          </w:tcPr>
          <w:p>
            <w:pPr>
              <w:spacing w:after="0"/>
              <w:rPr>
                <w:sz w:val="22"/>
                <w:szCs w:val="22"/>
                <w:color w:val="auto"/>
              </w:rPr>
            </w:pPr>
          </w:p>
        </w:tc>
      </w:tr>
      <w:tr>
        <w:trPr>
          <w:trHeight w:val="26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4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as required by Section 302 of the Sarbanes-Oxley Act of 2002</w:t>
            </w:r>
          </w:p>
        </w:tc>
      </w:tr>
      <w:tr>
        <w:trPr>
          <w:trHeight w:val="26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4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Certifications of the Chief Executive Officer and Chief Financial Officer as required by 18 U.S.C. 1350</w:t>
            </w:r>
          </w:p>
        </w:tc>
        <w:tc>
          <w:tcPr>
            <w:tcW w:w="180" w:type="dxa"/>
            <w:vAlign w:val="bottom"/>
            <w:tcBorders>
              <w:top w:val="single" w:sz="8" w:color="0000FF"/>
            </w:tcBorders>
          </w:tcPr>
          <w:p>
            <w:pPr>
              <w:spacing w:after="0"/>
              <w:rPr>
                <w:sz w:val="22"/>
                <w:szCs w:val="22"/>
                <w:color w:val="auto"/>
              </w:rPr>
            </w:pPr>
          </w:p>
        </w:tc>
        <w:tc>
          <w:tcPr>
            <w:tcW w:w="1820" w:type="dxa"/>
            <w:vAlign w:val="bottom"/>
            <w:gridSpan w:val="2"/>
          </w:tcPr>
          <w:p>
            <w:pPr>
              <w:spacing w:after="0"/>
              <w:rPr>
                <w:sz w:val="22"/>
                <w:szCs w:val="22"/>
                <w:color w:val="auto"/>
              </w:rPr>
            </w:pPr>
          </w:p>
        </w:tc>
      </w:tr>
      <w:tr>
        <w:trPr>
          <w:trHeight w:val="26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2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Compensation Recovery Policy</w:t>
            </w:r>
          </w:p>
        </w:tc>
        <w:tc>
          <w:tcPr>
            <w:tcW w:w="7180" w:type="dxa"/>
            <w:vAlign w:val="bottom"/>
            <w:gridSpan w:val="6"/>
          </w:tcPr>
          <w:p>
            <w:pPr>
              <w:spacing w:after="0"/>
              <w:rPr>
                <w:sz w:val="22"/>
                <w:szCs w:val="22"/>
                <w:color w:val="auto"/>
              </w:rPr>
            </w:pPr>
          </w:p>
        </w:tc>
      </w:tr>
      <w:tr>
        <w:trPr>
          <w:trHeight w:val="30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4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4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4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4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4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4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cover page from this Annual Report on Form 10-K, formatted in Inline XBRL</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63" w:lineRule="exact"/>
        <w:rPr>
          <w:sz w:val="20"/>
          <w:szCs w:val="20"/>
          <w:color w:val="auto"/>
        </w:rPr>
      </w:pPr>
    </w:p>
    <w:p>
      <w:pPr>
        <w:ind w:right="4140" w:firstLine="8"/>
        <w:spacing w:after="0" w:line="313" w:lineRule="auto"/>
        <w:tabs>
          <w:tab w:leader="none" w:pos="27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Regulations S-K. + Indicates a management contract or compensatory plan or arrangement.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Confidential treatment has been granted with respect to certain portions of this exhibit.</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20"/>
          </w:cols>
          <w:pgMar w:left="320" w:top="337" w:right="35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94" w:lineRule="exact"/>
        <w:rPr>
          <w:sz w:val="20"/>
          <w:szCs w:val="20"/>
          <w:color w:val="auto"/>
        </w:rPr>
      </w:pPr>
    </w:p>
    <w:p>
      <w:pPr>
        <w:ind w:left="20"/>
        <w:spacing w:after="0"/>
        <w:tabs>
          <w:tab w:leader="none" w:pos="5360" w:val="left"/>
        </w:tabs>
        <w:rPr>
          <w:sz w:val="20"/>
          <w:szCs w:val="20"/>
          <w:color w:val="auto"/>
        </w:rPr>
      </w:pPr>
      <w:r>
        <w:rPr>
          <w:rFonts w:ascii="Times New Roman" w:cs="Times New Roman" w:eastAsia="Times New Roman" w:hAnsi="Times New Roman"/>
          <w:sz w:val="18"/>
          <w:szCs w:val="18"/>
          <w:color w:val="auto"/>
        </w:rPr>
        <w:t>Dated: April 16, 2024</w:t>
      </w:r>
      <w:r>
        <w:rPr>
          <w:sz w:val="20"/>
          <w:szCs w:val="20"/>
          <w:color w:val="auto"/>
        </w:rPr>
        <w:tab/>
      </w:r>
      <w:r>
        <w:rPr>
          <w:rFonts w:ascii="Times New Roman" w:cs="Times New Roman" w:eastAsia="Times New Roman" w:hAnsi="Times New Roman"/>
          <w:sz w:val="18"/>
          <w:szCs w:val="18"/>
          <w:color w:val="auto"/>
        </w:rPr>
        <w:t>/s/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34290</wp:posOffset>
            </wp:positionV>
            <wp:extent cx="37287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Shankar Musunuri, Ph.D., MBA</w:t>
      </w:r>
    </w:p>
    <w:p>
      <w:pPr>
        <w:ind w:left="5380"/>
        <w:spacing w:after="0" w:line="234" w:lineRule="auto"/>
        <w:rPr>
          <w:sz w:val="20"/>
          <w:szCs w:val="20"/>
          <w:color w:val="auto"/>
        </w:rPr>
      </w:pPr>
      <w:r>
        <w:rPr>
          <w:rFonts w:ascii="Times New Roman" w:cs="Times New Roman" w:eastAsia="Times New Roman" w:hAnsi="Times New Roman"/>
          <w:sz w:val="18"/>
          <w:szCs w:val="18"/>
          <w:color w:val="auto"/>
        </w:rPr>
        <w:t>Chairman, Chief Executive Officer &amp; Co-Founder</w:t>
      </w:r>
    </w:p>
    <w:p>
      <w:pPr>
        <w:spacing w:after="0" w:line="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6" w:lineRule="exact"/>
        <w:rPr>
          <w:sz w:val="20"/>
          <w:szCs w:val="20"/>
          <w:color w:val="auto"/>
        </w:rPr>
      </w:pPr>
    </w:p>
    <w:p>
      <w:pPr>
        <w:ind w:left="20"/>
        <w:spacing w:after="0"/>
        <w:tabs>
          <w:tab w:leader="none" w:pos="5360" w:val="left"/>
        </w:tabs>
        <w:rPr>
          <w:sz w:val="20"/>
          <w:szCs w:val="20"/>
          <w:color w:val="auto"/>
        </w:rPr>
      </w:pPr>
      <w:r>
        <w:rPr>
          <w:rFonts w:ascii="Times New Roman" w:cs="Times New Roman" w:eastAsia="Times New Roman" w:hAnsi="Times New Roman"/>
          <w:sz w:val="18"/>
          <w:szCs w:val="18"/>
          <w:color w:val="auto"/>
        </w:rPr>
        <w:t>Dated: April 16, 2024</w:t>
      </w:r>
      <w:r>
        <w:rPr>
          <w:sz w:val="20"/>
          <w:szCs w:val="20"/>
          <w:color w:val="auto"/>
        </w:rPr>
        <w:tab/>
      </w:r>
      <w:r>
        <w:rPr>
          <w:rFonts w:ascii="Times New Roman" w:cs="Times New Roman" w:eastAsia="Times New Roman" w:hAnsi="Times New Roman"/>
          <w:sz w:val="17"/>
          <w:szCs w:val="17"/>
          <w:color w:val="auto"/>
        </w:rPr>
        <w:t>/s/ Michael Breininger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34290</wp:posOffset>
            </wp:positionV>
            <wp:extent cx="37287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Michael Breininger, CPA, MBA, LSSBB</w:t>
      </w:r>
    </w:p>
    <w:p>
      <w:pPr>
        <w:ind w:left="5380"/>
        <w:spacing w:after="0" w:line="234" w:lineRule="auto"/>
        <w:rPr>
          <w:sz w:val="20"/>
          <w:szCs w:val="20"/>
          <w:color w:val="auto"/>
        </w:rPr>
      </w:pPr>
      <w:r>
        <w:rPr>
          <w:rFonts w:ascii="Times New Roman" w:cs="Times New Roman" w:eastAsia="Times New Roman" w:hAnsi="Times New Roman"/>
          <w:sz w:val="18"/>
          <w:szCs w:val="18"/>
          <w:color w:val="auto"/>
        </w:rPr>
        <w:t>Corporate Controller, Interim Chief Accounting Officer</w:t>
      </w:r>
    </w:p>
    <w:p>
      <w:pPr>
        <w:spacing w:after="0" w:line="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337" w:right="339" w:bottom="1440" w:gutter="0" w:footer="0" w:header="0"/>
        </w:sectPr>
      </w:pP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546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49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Shankar Musunuri</w:t>
            </w:r>
          </w:p>
        </w:tc>
        <w:tc>
          <w:tcPr>
            <w:tcW w:w="1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Chief Executive Officer &amp; Co-Founder</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Shankar Musunuri</w:t>
            </w:r>
          </w:p>
        </w:tc>
        <w:tc>
          <w:tcPr>
            <w:tcW w:w="10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Breininger</w:t>
            </w:r>
          </w:p>
        </w:tc>
        <w:tc>
          <w:tcPr>
            <w:tcW w:w="1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Controller, Interim Chief Accounting Officer</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Breininger</w:t>
            </w:r>
          </w:p>
        </w:tc>
        <w:tc>
          <w:tcPr>
            <w:tcW w:w="10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Ramesh Kumar</w:t>
            </w:r>
          </w:p>
        </w:tc>
        <w:tc>
          <w:tcPr>
            <w:tcW w:w="1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Ramesh Kumar</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Junge Zhang</w:t>
            </w:r>
          </w:p>
        </w:tc>
        <w:tc>
          <w:tcPr>
            <w:tcW w:w="1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Junge Zhang</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Uday Kompella</w:t>
            </w:r>
          </w:p>
        </w:tc>
        <w:tc>
          <w:tcPr>
            <w:tcW w:w="1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Uday Kompella</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Kirsten Castillo</w:t>
            </w:r>
          </w:p>
        </w:tc>
        <w:tc>
          <w:tcPr>
            <w:tcW w:w="1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Kirsten Castillo</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Prabhavathi Fernandes</w:t>
            </w:r>
          </w:p>
        </w:tc>
        <w:tc>
          <w:tcPr>
            <w:tcW w:w="1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Prabhavathi Fernandes</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Marna Whittington</w:t>
            </w:r>
          </w:p>
        </w:tc>
        <w:tc>
          <w:tcPr>
            <w:tcW w:w="1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Marna Whittington</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19685</wp:posOffset>
            </wp:positionV>
            <wp:extent cx="11830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2024</w:t>
      </w:r>
    </w:p>
    <w:p>
      <w:pPr>
        <w:spacing w:after="0" w:line="483" w:lineRule="exact"/>
        <w:rPr>
          <w:sz w:val="20"/>
          <w:szCs w:val="20"/>
          <w:color w:val="auto"/>
        </w:rPr>
      </w:pPr>
    </w:p>
    <w:p>
      <w:pPr>
        <w:sectPr>
          <w:pgSz w:w="11900" w:h="16838" w:orient="portrait"/>
          <w:cols w:equalWidth="0" w:num="2">
            <w:col w:w="9280" w:space="500"/>
            <w:col w:w="1460"/>
          </w:cols>
          <w:pgMar w:left="320" w:top="337"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04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006"/>
        </w:trPr>
        <w:tc>
          <w:tcPr>
            <w:tcW w:w="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912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60" w:type="dxa"/>
            <w:vAlign w:val="bottom"/>
            <w:gridSpan w:val="5"/>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rPr>
              <w:t>OCUGEN, INC.</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196"/>
        </w:trPr>
        <w:tc>
          <w:tcPr>
            <w:tcW w:w="20" w:type="dxa"/>
            <w:vAlign w:val="bottom"/>
          </w:tcPr>
          <w:p>
            <w:pPr>
              <w:spacing w:after="0"/>
              <w:rPr>
                <w:sz w:val="17"/>
                <w:szCs w:val="17"/>
                <w:color w:val="auto"/>
              </w:rPr>
            </w:pPr>
          </w:p>
        </w:tc>
        <w:tc>
          <w:tcPr>
            <w:tcW w:w="103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84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5"/>
              </w:rPr>
              <w:t>F-2</w:t>
            </w:r>
          </w:p>
        </w:tc>
      </w:tr>
      <w:tr>
        <w:trPr>
          <w:trHeight w:val="399"/>
        </w:trPr>
        <w:tc>
          <w:tcPr>
            <w:tcW w:w="20" w:type="dxa"/>
            <w:vAlign w:val="bottom"/>
          </w:tcPr>
          <w:p>
            <w:pPr>
              <w:spacing w:after="0"/>
              <w:rPr>
                <w:sz w:val="24"/>
                <w:szCs w:val="24"/>
                <w:color w:val="auto"/>
              </w:rPr>
            </w:pPr>
          </w:p>
        </w:tc>
        <w:tc>
          <w:tcPr>
            <w:tcW w:w="42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160" w:type="dxa"/>
            <w:vAlign w:val="bottom"/>
            <w:gridSpan w:val="5"/>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at December 31, 2023 and 202</w:t>
            </w:r>
            <w:r>
              <w:rPr>
                <w:rFonts w:ascii="Times New Roman" w:cs="Times New Roman" w:eastAsia="Times New Roman" w:hAnsi="Times New Roman"/>
                <w:sz w:val="18"/>
                <w:szCs w:val="18"/>
                <w:color w:val="000000"/>
              </w:rPr>
              <w:t>2</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F-4</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2023 and 202</w:t>
            </w:r>
            <w:r>
              <w:rPr>
                <w:rFonts w:ascii="Times New Roman" w:cs="Times New Roman" w:eastAsia="Times New Roman" w:hAnsi="Times New Roman"/>
                <w:sz w:val="18"/>
                <w:szCs w:val="18"/>
                <w:color w:val="000000"/>
              </w:rPr>
              <w:t>2</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F-5</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2023 and 2022</w:t>
            </w:r>
          </w:p>
        </w:tc>
        <w:tc>
          <w:tcPr>
            <w:tcW w:w="148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F-6</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and 202</w:t>
            </w:r>
            <w:r>
              <w:rPr>
                <w:rFonts w:ascii="Times New Roman" w:cs="Times New Roman" w:eastAsia="Times New Roman" w:hAnsi="Times New Roman"/>
                <w:sz w:val="18"/>
                <w:szCs w:val="18"/>
                <w:color w:val="000000"/>
              </w:rPr>
              <w:t>2</w:t>
            </w:r>
          </w:p>
        </w:tc>
        <w:tc>
          <w:tcPr>
            <w:tcW w:w="2560" w:type="dxa"/>
            <w:vAlign w:val="bottom"/>
            <w:gridSpan w:val="2"/>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F-7</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3300" w:type="dxa"/>
            <w:vAlign w:val="bottom"/>
            <w:gridSpan w:val="3"/>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F-9</w:t>
            </w:r>
          </w:p>
        </w:tc>
      </w:tr>
      <w:tr>
        <w:trPr>
          <w:trHeight w:val="91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8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320" w:type="dxa"/>
            <w:vAlign w:val="bottom"/>
            <w:gridSpan w:val="4"/>
          </w:tcPr>
          <w:p>
            <w:pPr>
              <w:jc w:val="center"/>
              <w:ind w:right="4240"/>
              <w:spacing w:after="0"/>
              <w:rPr>
                <w:sz w:val="20"/>
                <w:szCs w:val="20"/>
                <w:color w:val="auto"/>
              </w:rPr>
            </w:pPr>
            <w:r>
              <w:rPr>
                <w:rFonts w:ascii="Times New Roman" w:cs="Times New Roman" w:eastAsia="Times New Roman" w:hAnsi="Times New Roman"/>
                <w:sz w:val="18"/>
                <w:szCs w:val="18"/>
                <w:color w:val="auto"/>
                <w:w w:val="95"/>
              </w:rPr>
              <w:t>F-1</w:t>
            </w:r>
          </w:p>
        </w:tc>
        <w:tc>
          <w:tcPr>
            <w:tcW w:w="30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360" w:firstLine="3364"/>
        <w:spacing w:after="0" w:line="54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Ocugen, Inc. </w:t>
      </w:r>
      <w:r>
        <w:rPr>
          <w:rFonts w:ascii="Times New Roman" w:cs="Times New Roman" w:eastAsia="Times New Roman" w:hAnsi="Times New Roman"/>
          <w:sz w:val="18"/>
          <w:szCs w:val="18"/>
          <w:b w:val="1"/>
          <w:bCs w:val="1"/>
          <w:color w:val="auto"/>
        </w:rPr>
        <w:t>Opinion on the Financial Statements</w:t>
      </w:r>
    </w:p>
    <w:p>
      <w:pPr>
        <w:spacing w:after="0" w:line="28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Ocugen, Inc. (the Company) as of December 31, 2023 and 2022, the related consolidated statements of operations and comprehensive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2022 Financial Statements</w:t>
      </w:r>
    </w:p>
    <w:p>
      <w:pPr>
        <w:spacing w:after="0" w:line="243" w:lineRule="exact"/>
        <w:rPr>
          <w:sz w:val="20"/>
          <w:szCs w:val="20"/>
          <w:color w:val="auto"/>
        </w:rPr>
      </w:pPr>
    </w:p>
    <w:p>
      <w:pPr>
        <w:ind w:right="200"/>
        <w:spacing w:after="0" w:line="470" w:lineRule="auto"/>
        <w:rPr>
          <w:sz w:val="20"/>
          <w:szCs w:val="20"/>
          <w:color w:val="auto"/>
        </w:rPr>
      </w:pPr>
      <w:r>
        <w:rPr>
          <w:rFonts w:ascii="Times New Roman" w:cs="Times New Roman" w:eastAsia="Times New Roman" w:hAnsi="Times New Roman"/>
          <w:sz w:val="18"/>
          <w:szCs w:val="18"/>
          <w:color w:val="auto"/>
        </w:rPr>
        <w:t xml:space="preserve">As discussed in Note 16 to the consolidated financial statements, the 2022 consolidated financial statements have been restated to correct a misstatement. </w:t>
      </w:r>
      <w:r>
        <w:rPr>
          <w:rFonts w:ascii="Times New Roman" w:cs="Times New Roman" w:eastAsia="Times New Roman" w:hAnsi="Times New Roman"/>
          <w:sz w:val="18"/>
          <w:szCs w:val="18"/>
          <w:b w:val="1"/>
          <w:bCs w:val="1"/>
          <w:color w:val="auto"/>
        </w:rPr>
        <w:t>Basis for Opinion</w:t>
      </w:r>
    </w:p>
    <w:p>
      <w:pPr>
        <w:spacing w:after="0" w:line="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Collaborative Arrangement Revenue</w:t>
            </w:r>
          </w:p>
        </w:tc>
        <w:tc>
          <w:tcPr>
            <w:tcW w:w="0" w:type="dxa"/>
            <w:vAlign w:val="bottom"/>
          </w:tcPr>
          <w:p>
            <w:pPr>
              <w:spacing w:after="0" w:line="20" w:lineRule="exact"/>
              <w:rPr>
                <w:sz w:val="1"/>
                <w:szCs w:val="1"/>
                <w:color w:val="auto"/>
              </w:rPr>
            </w:pPr>
          </w:p>
        </w:tc>
      </w:tr>
      <w:tr>
        <w:trPr>
          <w:trHeight w:val="826"/>
        </w:trPr>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tc>
        <w:tc>
          <w:tcPr>
            <w:tcW w:w="8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400" w:type="dxa"/>
            <w:vAlign w:val="bottom"/>
            <w:gridSpan w:val="2"/>
            <w:vMerge w:val="continue"/>
          </w:tcPr>
          <w:p>
            <w:pPr>
              <w:spacing w:after="0"/>
              <w:rPr>
                <w:sz w:val="15"/>
                <w:szCs w:val="15"/>
                <w:color w:val="auto"/>
              </w:rPr>
            </w:pPr>
          </w:p>
        </w:tc>
        <w:tc>
          <w:tcPr>
            <w:tcW w:w="876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As disclosed in Notes 2 and 3 to the consolidated financial statements, the Company recognizes collaborative</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7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arrangement revenue as the Company’s performance obligations are satisfied over time. Collaborative arrangement</w:t>
            </w: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76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revenue is recognized under an input method using the ratio of costs incurred to date compared to the total estimated</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7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costs required to complete the performance obligations. The transaction price consists of variable consideration that is</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7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based on the estimated market value of all co-development services to be provided by the other party to the</w:t>
            </w: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76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w w:val="99"/>
              </w:rPr>
              <w:t>arrangements. The Company recorded collaborative arrangement revenue of $6.0 million for the year ended December</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31, 2023.</w:t>
            </w:r>
          </w:p>
        </w:tc>
        <w:tc>
          <w:tcPr>
            <w:tcW w:w="0" w:type="dxa"/>
            <w:vAlign w:val="bottom"/>
          </w:tcPr>
          <w:p>
            <w:pPr>
              <w:spacing w:after="0"/>
              <w:rPr>
                <w:sz w:val="1"/>
                <w:szCs w:val="1"/>
                <w:color w:val="auto"/>
              </w:rPr>
            </w:pPr>
          </w:p>
        </w:tc>
      </w:tr>
      <w:tr>
        <w:trPr>
          <w:trHeight w:val="368"/>
        </w:trPr>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Auditing the estimated transaction prices and the Company’s progress towards the satisfaction of the performance</w:t>
            </w: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76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obligations under the collaborative arrangements is especially challenging because it involves subjective management</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7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assumptions about the transaction prices, including the need to constrain estimates of variable consideration, and the</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7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research and development costs necessary to satisfy the performance obligations. The measurement and recognition of</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collaborative arrangement revenue is subject to these estimates and judgments developed by management.</w:t>
            </w:r>
          </w:p>
        </w:tc>
        <w:tc>
          <w:tcPr>
            <w:tcW w:w="0" w:type="dxa"/>
            <w:vAlign w:val="bottom"/>
          </w:tcPr>
          <w:p>
            <w:pPr>
              <w:spacing w:after="0"/>
              <w:rPr>
                <w:sz w:val="1"/>
                <w:szCs w:val="1"/>
                <w:color w:val="auto"/>
              </w:rPr>
            </w:pPr>
          </w:p>
        </w:tc>
      </w:tr>
      <w:tr>
        <w:trPr>
          <w:trHeight w:val="418"/>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How We Addressed the Matter</w:t>
            </w: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test the amount of collaborative arrangement revenue recognized in the current period, we performed audit</w:t>
            </w:r>
          </w:p>
        </w:tc>
        <w:tc>
          <w:tcPr>
            <w:tcW w:w="0" w:type="dxa"/>
            <w:vAlign w:val="bottom"/>
          </w:tcPr>
          <w:p>
            <w:pPr>
              <w:spacing w:after="0"/>
              <w:rPr>
                <w:sz w:val="1"/>
                <w:szCs w:val="1"/>
                <w:color w:val="auto"/>
              </w:rPr>
            </w:pPr>
          </w:p>
        </w:tc>
      </w:tr>
      <w:tr>
        <w:trPr>
          <w:trHeight w:val="184"/>
        </w:trPr>
        <w:tc>
          <w:tcPr>
            <w:tcW w:w="24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in Our Audit</w:t>
            </w:r>
          </w:p>
        </w:tc>
        <w:tc>
          <w:tcPr>
            <w:tcW w:w="87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procedures that included, among others, reading the collaborative arrangements and testing the accuracy and</w:t>
            </w: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76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completeness of the underlying data used in making the estimates. To assess the reasonableness of the Company’s</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7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significant estimates and judgments, we performed sensitivity analyses of key inputs, compared cost estimates to costs</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7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previously incurred for similar activities, inspected communications between the Company and its vendors regarding</w:t>
            </w: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76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estimated costs for clinical activities, evaluated the remaining level of effort required to complete the performance</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7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obligations, and inspected evidence of actual costs incurred, including confirmations with third parties. We also</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7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discussed the basis for key assumptions with the Company’s research and development personnel, who oversee the</w:t>
            </w: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76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completion of the collaborative arrangements and related clinical trials. Based on these audit procedures, we evaluated</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7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the Company’s application of the constraint on variable consideration and recalculated the revenue recognized for the</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7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period based on the ratio of costs incurred compared to estimated total costs at completion of the research and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development services and the transaction prices.</w:t>
            </w:r>
          </w:p>
        </w:tc>
        <w:tc>
          <w:tcPr>
            <w:tcW w:w="0" w:type="dxa"/>
            <w:vAlign w:val="bottom"/>
          </w:tcPr>
          <w:p>
            <w:pPr>
              <w:spacing w:after="0"/>
              <w:rPr>
                <w:sz w:val="1"/>
                <w:szCs w:val="1"/>
                <w:color w:val="auto"/>
              </w:rPr>
            </w:pPr>
          </w:p>
        </w:tc>
      </w:tr>
      <w:tr>
        <w:trPr>
          <w:trHeight w:val="486"/>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Ernst &amp; Young LLP</w:t>
            </w:r>
          </w:p>
        </w:tc>
        <w:tc>
          <w:tcPr>
            <w:tcW w:w="8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2024</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77,563</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28,531</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liabilities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obligations, less current portion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 term debt, net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34,651</w:t>
            </w:r>
          </w:p>
        </w:tc>
        <w:tc>
          <w:tcPr>
            <w:tcW w:w="0" w:type="dxa"/>
            <w:vAlign w:val="bottom"/>
          </w:tcPr>
          <w:p>
            <w:pPr>
              <w:spacing w:after="0"/>
              <w:rPr>
                <w:sz w:val="1"/>
                <w:szCs w:val="1"/>
                <w:color w:val="auto"/>
              </w:rPr>
            </w:pP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Convertible preferred stock; $0.01 par value; 10,000,000 shares authorized at December 31, 2023 and</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Series A; zero shares issued and outstanding at December 31, 2023 and 2022, respectively</w:t>
            </w:r>
          </w:p>
        </w:tc>
        <w:tc>
          <w:tcPr>
            <w:tcW w:w="3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Series B; 54,745 issued and outstanding at December 31, 2023 and 2022</w:t>
            </w: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$0.01 par value; 295,000,000 shares authorized; 256,688,304 and 221,721,182 shares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and 256,566,804 and 221,599,682 shares outstanding at December 31, 2023 and 2022, respectively</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121,500 shares at December 31, 2023 and 2022</w:t>
            </w: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294,874</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(223,089)</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73,981</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Collaborative arrangement revenue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56,159</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35,400</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91,559</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(89,071)</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calculating net loss per common share — basic and diluted</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244,327,057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214,600,051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70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Series A Convertible</w:t>
            </w:r>
          </w:p>
        </w:tc>
        <w:tc>
          <w:tcPr>
            <w:tcW w:w="172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rPr>
              <w:t>Series B Convertible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1700" w:type="dxa"/>
            <w:vAlign w:val="bottom"/>
            <w:gridSpan w:val="5"/>
            <w:vMerge w:val="continue"/>
          </w:tcPr>
          <w:p>
            <w:pPr>
              <w:spacing w:after="0"/>
              <w:rPr>
                <w:sz w:val="7"/>
                <w:szCs w:val="7"/>
                <w:color w:val="auto"/>
              </w:rPr>
            </w:pPr>
          </w:p>
        </w:tc>
        <w:tc>
          <w:tcPr>
            <w:tcW w:w="1720" w:type="dxa"/>
            <w:vAlign w:val="bottom"/>
            <w:gridSpan w:val="5"/>
            <w:vMerge w:val="continue"/>
          </w:tcPr>
          <w:p>
            <w:pPr>
              <w:spacing w:after="0"/>
              <w:rPr>
                <w:sz w:val="7"/>
                <w:szCs w:val="7"/>
                <w:color w:val="auto"/>
              </w:rPr>
            </w:pPr>
          </w:p>
        </w:tc>
        <w:tc>
          <w:tcPr>
            <w:tcW w:w="1680" w:type="dxa"/>
            <w:vAlign w:val="bottom"/>
            <w:gridSpan w:val="4"/>
            <w:vMerge w:val="restart"/>
          </w:tcPr>
          <w:p>
            <w:pPr>
              <w:jc w:val="right"/>
              <w:ind w:right="227"/>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3"/>
            <w:vMerge w:val="restart"/>
          </w:tcPr>
          <w:p>
            <w:pPr>
              <w:jc w:val="center"/>
              <w:ind w:right="60"/>
              <w:spacing w:after="0" w:line="145"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7"/>
                <w:szCs w:val="7"/>
                <w:color w:val="auto"/>
              </w:rPr>
            </w:pPr>
          </w:p>
        </w:tc>
        <w:tc>
          <w:tcPr>
            <w:tcW w:w="1100" w:type="dxa"/>
            <w:vAlign w:val="bottom"/>
            <w:gridSpan w:val="2"/>
            <w:vMerge w:val="restart"/>
          </w:tcPr>
          <w:p>
            <w:pPr>
              <w:jc w:val="center"/>
              <w:ind w:right="160"/>
              <w:spacing w:after="0" w:line="14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400" w:type="dxa"/>
            <w:vAlign w:val="bottom"/>
          </w:tcPr>
          <w:p>
            <w:pPr>
              <w:spacing w:after="0"/>
              <w:rPr>
                <w:sz w:val="5"/>
                <w:szCs w:val="5"/>
                <w:color w:val="auto"/>
              </w:rPr>
            </w:pPr>
          </w:p>
        </w:tc>
        <w:tc>
          <w:tcPr>
            <w:tcW w:w="1620" w:type="dxa"/>
            <w:vAlign w:val="bottom"/>
            <w:gridSpan w:val="4"/>
            <w:vMerge w:val="restart"/>
          </w:tcPr>
          <w:p>
            <w:pPr>
              <w:jc w:val="right"/>
              <w:ind w:right="187"/>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5"/>
                <w:szCs w:val="5"/>
                <w:color w:val="auto"/>
              </w:rPr>
            </w:pPr>
          </w:p>
        </w:tc>
        <w:tc>
          <w:tcPr>
            <w:tcW w:w="1640" w:type="dxa"/>
            <w:vAlign w:val="bottom"/>
            <w:gridSpan w:val="4"/>
            <w:vMerge w:val="restart"/>
          </w:tcPr>
          <w:p>
            <w:pPr>
              <w:jc w:val="right"/>
              <w:ind w:right="207"/>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400" w:type="dxa"/>
            <w:vAlign w:val="bottom"/>
          </w:tcPr>
          <w:p>
            <w:pPr>
              <w:spacing w:after="0"/>
              <w:rPr>
                <w:sz w:val="10"/>
                <w:szCs w:val="10"/>
                <w:color w:val="auto"/>
              </w:rPr>
            </w:pPr>
          </w:p>
        </w:tc>
        <w:tc>
          <w:tcPr>
            <w:tcW w:w="162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00" w:type="dxa"/>
            <w:vAlign w:val="bottom"/>
            <w:gridSpan w:val="3"/>
          </w:tcPr>
          <w:p>
            <w:pPr>
              <w:jc w:val="right"/>
              <w:ind w:right="140"/>
              <w:spacing w:after="0" w:line="122"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0"/>
                <w:szCs w:val="10"/>
                <w:color w:val="auto"/>
              </w:rPr>
            </w:pPr>
          </w:p>
        </w:tc>
        <w:tc>
          <w:tcPr>
            <w:tcW w:w="74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rPr>
              <w:t>Paid in</w:t>
            </w:r>
          </w:p>
        </w:tc>
        <w:tc>
          <w:tcPr>
            <w:tcW w:w="1200" w:type="dxa"/>
            <w:vAlign w:val="bottom"/>
            <w:gridSpan w:val="3"/>
          </w:tcPr>
          <w:p>
            <w:pPr>
              <w:ind w:left="20"/>
              <w:spacing w:after="0" w:line="122" w:lineRule="exact"/>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ind w:left="20"/>
              <w:spacing w:after="0" w:line="122"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4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4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 at December</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199,502,183</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225,537</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(136,285)</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91,200</w:t>
            </w:r>
          </w:p>
        </w:tc>
        <w:tc>
          <w:tcPr>
            <w:tcW w:w="0" w:type="dxa"/>
            <w:vAlign w:val="bottom"/>
          </w:tcPr>
          <w:p>
            <w:pPr>
              <w:spacing w:after="0"/>
              <w:rPr>
                <w:sz w:val="1"/>
                <w:szCs w:val="1"/>
                <w:color w:val="auto"/>
              </w:rPr>
            </w:pPr>
          </w:p>
        </w:tc>
      </w:tr>
      <w:tr>
        <w:trPr>
          <w:trHeight w:val="20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31, 2021 (As Restated)</w:t>
            </w: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10,541</w:t>
            </w:r>
          </w:p>
        </w:tc>
        <w:tc>
          <w:tcPr>
            <w:tcW w:w="0" w:type="dxa"/>
            <w:vAlign w:val="bottom"/>
          </w:tcPr>
          <w:p>
            <w:pPr>
              <w:spacing w:after="0"/>
              <w:rPr>
                <w:sz w:val="1"/>
                <w:szCs w:val="1"/>
                <w:color w:val="auto"/>
              </w:rPr>
            </w:pPr>
          </w:p>
        </w:tc>
      </w:tr>
      <w:tr>
        <w:trPr>
          <w:trHeight w:val="198"/>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for stock option</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exercises and restricted</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unit vesting, net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1,579,886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0" w:type="dxa"/>
            <w:vAlign w:val="bottom"/>
          </w:tcPr>
          <w:p>
            <w:pPr>
              <w:spacing w:after="0"/>
              <w:rPr>
                <w:sz w:val="1"/>
                <w:szCs w:val="1"/>
                <w:color w:val="auto"/>
              </w:rPr>
            </w:pPr>
          </w:p>
        </w:tc>
      </w:tr>
      <w:tr>
        <w:trPr>
          <w:trHeight w:val="139"/>
        </w:trPr>
        <w:tc>
          <w:tcPr>
            <w:tcW w:w="1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for capital raises,</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20,635,998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57,550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57,756</w:t>
            </w:r>
          </w:p>
        </w:tc>
        <w:tc>
          <w:tcPr>
            <w:tcW w:w="0" w:type="dxa"/>
            <w:vAlign w:val="bottom"/>
          </w:tcPr>
          <w:p>
            <w:pPr>
              <w:spacing w:after="0"/>
              <w:rPr>
                <w:sz w:val="1"/>
                <w:szCs w:val="1"/>
                <w:color w:val="auto"/>
              </w:rPr>
            </w:pPr>
          </w:p>
        </w:tc>
      </w:tr>
      <w:tr>
        <w:trPr>
          <w:trHeight w:val="203"/>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 convertible</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preferred stock</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w:t>
            </w: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comprehensive</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020" w:type="dxa"/>
            <w:vAlign w:val="bottom"/>
            <w:vMerge w:val="restart"/>
          </w:tcPr>
          <w:p>
            <w:pPr>
              <w:ind w:left="82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8"/>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w:t>
            </w: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(86,804)</w:t>
            </w:r>
          </w:p>
        </w:tc>
        <w:tc>
          <w:tcPr>
            <w:tcW w:w="0" w:type="dxa"/>
            <w:vAlign w:val="bottom"/>
          </w:tcPr>
          <w:p>
            <w:pPr>
              <w:spacing w:after="0"/>
              <w:rPr>
                <w:sz w:val="1"/>
                <w:szCs w:val="1"/>
                <w:color w:val="auto"/>
              </w:rPr>
            </w:pPr>
          </w:p>
        </w:tc>
      </w:tr>
      <w:tr>
        <w:trPr>
          <w:trHeight w:val="117"/>
        </w:trPr>
        <w:tc>
          <w:tcPr>
            <w:tcW w:w="14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 at December</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221,721,182</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294,874</w:t>
            </w:r>
          </w:p>
        </w:tc>
        <w:tc>
          <w:tcPr>
            <w:tcW w:w="8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tcPr>
          <w:p>
            <w:pPr>
              <w:ind w:left="82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0"/>
                <w:szCs w:val="10"/>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(223,089)</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73,981</w:t>
            </w:r>
          </w:p>
        </w:tc>
        <w:tc>
          <w:tcPr>
            <w:tcW w:w="0" w:type="dxa"/>
            <w:vAlign w:val="bottom"/>
          </w:tcPr>
          <w:p>
            <w:pPr>
              <w:spacing w:after="0"/>
              <w:rPr>
                <w:sz w:val="1"/>
                <w:szCs w:val="1"/>
                <w:color w:val="auto"/>
              </w:rPr>
            </w:pPr>
          </w:p>
        </w:tc>
      </w:tr>
      <w:tr>
        <w:trPr>
          <w:trHeight w:val="195"/>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31, 2022 (As Restated)</w:t>
            </w:r>
          </w:p>
        </w:tc>
        <w:tc>
          <w:tcPr>
            <w:tcW w:w="86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w:t>
            </w:r>
          </w:p>
        </w:tc>
        <w:tc>
          <w:tcPr>
            <w:tcW w:w="0" w:type="dxa"/>
            <w:vAlign w:val="bottom"/>
          </w:tcPr>
          <w:p>
            <w:pPr>
              <w:spacing w:after="0"/>
              <w:rPr>
                <w:sz w:val="1"/>
                <w:szCs w:val="1"/>
                <w:color w:val="auto"/>
              </w:rPr>
            </w:pPr>
          </w:p>
        </w:tc>
      </w:tr>
      <w:tr>
        <w:trPr>
          <w:trHeight w:val="198"/>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for stock option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exercises and restricted</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488,166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88"/>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unit vesting, net</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4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for capital raises,</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34,478,956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20,326</w:t>
            </w: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comprehensive</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vMerge w:val="restart"/>
          </w:tcPr>
          <w:p>
            <w:pPr>
              <w:ind w:left="82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(63,078)</w:t>
            </w:r>
          </w:p>
        </w:tc>
        <w:tc>
          <w:tcPr>
            <w:tcW w:w="0" w:type="dxa"/>
            <w:vAlign w:val="bottom"/>
          </w:tcPr>
          <w:p>
            <w:pPr>
              <w:spacing w:after="0"/>
              <w:rPr>
                <w:sz w:val="1"/>
                <w:szCs w:val="1"/>
                <w:color w:val="auto"/>
              </w:rPr>
            </w:pPr>
          </w:p>
        </w:tc>
      </w:tr>
      <w:tr>
        <w:trPr>
          <w:trHeight w:val="117"/>
        </w:trPr>
        <w:tc>
          <w:tcPr>
            <w:tcW w:w="14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 at December</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54,745</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256,688,304</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2,567</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324,191</w:t>
            </w:r>
          </w:p>
        </w:tc>
        <w:tc>
          <w:tcPr>
            <w:tcW w:w="8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20</w:t>
            </w:r>
          </w:p>
        </w:tc>
        <w:tc>
          <w:tcPr>
            <w:tcW w:w="80" w:type="dxa"/>
            <w:vAlign w:val="bottom"/>
          </w:tcPr>
          <w:p>
            <w:pPr>
              <w:spacing w:after="0"/>
              <w:rPr>
                <w:sz w:val="10"/>
                <w:szCs w:val="10"/>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(286,167)</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40,564</w:t>
            </w:r>
          </w:p>
        </w:tc>
        <w:tc>
          <w:tcPr>
            <w:tcW w:w="0" w:type="dxa"/>
            <w:vAlign w:val="bottom"/>
          </w:tcPr>
          <w:p>
            <w:pPr>
              <w:spacing w:after="0"/>
              <w:rPr>
                <w:sz w:val="1"/>
                <w:szCs w:val="1"/>
                <w:color w:val="auto"/>
              </w:rPr>
            </w:pPr>
          </w:p>
        </w:tc>
      </w:tr>
      <w:tr>
        <w:trPr>
          <w:trHeight w:val="173"/>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6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57"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820" w:type="dxa"/>
            <w:vAlign w:val="bottom"/>
          </w:tcPr>
          <w:p>
            <w:pPr>
              <w:spacing w:after="0"/>
              <w:rPr>
                <w:sz w:val="17"/>
                <w:szCs w:val="17"/>
                <w:color w:val="auto"/>
              </w:rPr>
            </w:pPr>
          </w:p>
        </w:tc>
        <w:tc>
          <w:tcPr>
            <w:tcW w:w="3380" w:type="dxa"/>
            <w:vAlign w:val="bottom"/>
            <w:tcBorders>
              <w:bottom w:val="single" w:sz="8" w:color="auto"/>
            </w:tcBorders>
            <w:gridSpan w:val="5"/>
          </w:tcPr>
          <w:p>
            <w:pPr>
              <w:jc w:val="right"/>
              <w:ind w:right="731"/>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7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1"/>
        </w:trPr>
        <w:tc>
          <w:tcPr>
            <w:tcW w:w="78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(86,804)</w:t>
            </w: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(accretion) on marketable securities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30"/>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(income) expense from collaborative arrangements, net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w:t>
            </w:r>
          </w:p>
        </w:tc>
      </w:tr>
      <w:tr>
        <w:trPr>
          <w:trHeight w:val="22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r>
      <w:tr>
        <w:trPr>
          <w:trHeight w:val="230"/>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of advance for COVAXIN supply</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fixed assets related to COVAXIN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w:t>
            </w:r>
          </w:p>
        </w:tc>
      </w:tr>
      <w:tr>
        <w:trPr>
          <w:trHeight w:val="230"/>
        </w:trPr>
        <w:tc>
          <w:tcPr>
            <w:tcW w:w="7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Lease obligations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(60,079)</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r>
      <w:tr>
        <w:trPr>
          <w:trHeight w:val="230"/>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of note receivable</w:t>
            </w:r>
          </w:p>
        </w:tc>
        <w:tc>
          <w:tcPr>
            <w:tcW w:w="9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23"/>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9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(16,967)</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59,567</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equity issuance costs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59,475</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changes in exchange rate on cash and cash equivalents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(17,546)</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95,109</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7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1"/>
        </w:trPr>
        <w:tc>
          <w:tcPr>
            <w:tcW w:w="7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transactions: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29"/>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assets related to operating leases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r>
      <w:tr>
        <w:trPr>
          <w:trHeight w:val="234"/>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issuance costs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Ocugen, Inc., together with its wholly owned subsidiaries ("Ocugen" or the "Company"), is a biotechnology company focused on discovering, developing, and commercializing novel gene and cell therapies and vaccines that improve health and offer hope for patients across the globe. The Company is headquartered in Malvern, Pennsylvania, and manages its business as one operating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technology pipeline includes:</w:t>
      </w:r>
    </w:p>
    <w:p>
      <w:pPr>
        <w:spacing w:after="0" w:line="113" w:lineRule="exact"/>
        <w:rPr>
          <w:sz w:val="20"/>
          <w:szCs w:val="20"/>
          <w:color w:val="auto"/>
        </w:rPr>
      </w:pPr>
    </w:p>
    <w:p>
      <w:pPr>
        <w:jc w:val="both"/>
        <w:ind w:left="660" w:hanging="328"/>
        <w:spacing w:after="0" w:line="254" w:lineRule="auto"/>
        <w:tabs>
          <w:tab w:leader="none" w:pos="65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Modifier Gene Therapy Platform </w:t>
      </w:r>
      <w:r>
        <w:rPr>
          <w:rFonts w:ascii="Times New Roman" w:cs="Times New Roman" w:eastAsia="Times New Roman" w:hAnsi="Times New Roman"/>
          <w:sz w:val="18"/>
          <w:szCs w:val="18"/>
          <w:color w:val="auto"/>
        </w:rPr>
        <w:t>— Based on the use of nuclear hormone receptors ("NHRs"), the Company believes its modifier gene therapy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has the potential to address many retinal diseases, including rare diseases such as retinitis pigmentosa ("RP") (OCU400) and Leber congenital amaurosis ("LCA") (OCU400), with a gene-agnostic approach. We also believe our modifier gene therapy platform has the potential to address many retinal diseases, including a multifactorial dry age-related macular degeneration ("dAMD") using OCU410, which the Company believes has the potential to treat millions of patients, and Stargardt disease (OCU410ST), which is also a rare disease. The Company received clearance from FDA to initiate a Phase 3 trial for OCU400 for the treatment of RP and intends to begin dosing patients in 2Q, 2024. The Company expects to expand OCU400 Phase 3 development in LCA patients in the second half of 2024 based on Phase 1/2 study results in LCA patients and subject to alignment with the FDA. Currently both OCU410, for the treatment of GA patients, and OCU410ST, for the treatment of Stargardt patients, programs are in Phase 1/2 clinical development.</w:t>
      </w:r>
    </w:p>
    <w:p>
      <w:pPr>
        <w:spacing w:after="0" w:line="80"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Novel Biologic Therapy for Retinal Diseases </w:t>
      </w:r>
      <w:r>
        <w:rPr>
          <w:rFonts w:ascii="Times New Roman" w:cs="Times New Roman" w:eastAsia="Times New Roman" w:hAnsi="Times New Roman"/>
          <w:sz w:val="18"/>
          <w:szCs w:val="18"/>
          <w:color w:val="auto"/>
        </w:rPr>
        <w:t>— OCU200 is a novel fusion protein consisting of two human proteins, tumstatin and transferrin.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OCU200 possesses unique features which potentially enable it to treat vascular complications of diabetic macular edema ("DME"), diabetic retinopathy ("DR") and wet AMD. Tumstatin is the active component of OCU200 and binds to integrin receptors, which play a crucial role in disease pathogenesis. Transferrin is expected to facilitate the targeted delivery of tumstatin into the retina and choroid and potentially help increase the interaction between tumstatin and integrin receptors. The Company continues to work with the FDA to address comments to lift the clinical hold.</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Regenerative Medicine Cell Therapy Platform </w:t>
      </w:r>
      <w:r>
        <w:rPr>
          <w:rFonts w:ascii="Times New Roman" w:cs="Times New Roman" w:eastAsia="Times New Roman" w:hAnsi="Times New Roman"/>
          <w:sz w:val="18"/>
          <w:szCs w:val="18"/>
          <w:color w:val="auto"/>
        </w:rPr>
        <w:t>— Our Phase 3-ready regenerative medicine cell therapy platform technology, which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NeoCart (autologous chondrocyte-derived neocartilage), is being developed for the repair of knee cartilage injuries in adults. The Company received concurrence from the FDA on the confirmatory Phase 3 trial design and has completed renovating an existing facility into a current Good Manufacturing Practice ("GMP") facility to support clinical study and initial commercial launch.</w:t>
      </w:r>
    </w:p>
    <w:p>
      <w:pPr>
        <w:spacing w:after="0" w:line="68"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55"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Inhaled Mucosal Vaccine Platform </w:t>
      </w:r>
      <w:r>
        <w:rPr>
          <w:rFonts w:ascii="Times New Roman" w:cs="Times New Roman" w:eastAsia="Times New Roman" w:hAnsi="Times New Roman"/>
          <w:sz w:val="18"/>
          <w:szCs w:val="18"/>
          <w:color w:val="auto"/>
        </w:rPr>
        <w:t>— The Company's next-generation, inhaled mucosal vaccine platform includes OCU500, a COVID-19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vaccine; OCU510, a seasonal quadrivalent flu vaccine; and OCU520, a combination quadrivalent seasonal flu and COVID-19 vaccine. The Company is conducting IND enabling and product development activities for our OCU500 product and planning to submit an IND in 2024. The Company is currently collaborating with the National Institute of Allergy and Infectious Diseases ("NIAID") for early clinical studies for the OCU500 program. The Company expects OCU500 clinical trials to begin mid-2024. The Company is continuing discussions with relevant government agencies regarding developmental funding for our OCU510 and OCU520 platforms.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incurred recurring net losses since inception and has funded its operations to date through the sale of common stock, warrants to purchase common stock, the issuance of convertible notes and debt, and grant proceeds. The Company incurred net losses of approximately $63.1 million and $86.8 million for the years ended December 31, 2023 and 2022, respectively. As of December 31, 2023, the Company had an accumulated deficit of $286.2 million and cash and cash equivalents totaling $39.5 million. This amount will not meet the Company's capital requirements over the next 12 months after the date that the consolidated financial statements are issued. The Company believes that its cash and cash equivalents will enable it to fund its operations into the fourth quarter of 2024. Due to the inherent uncertainty involved in making estimates and the risks associated with the research, development, and commercialization of biotechnology products, the Company may have based this estimate on assumptions that may prove to be wrong, and the Company's operating plan may change as a result of many factors currently unknown to the Company.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risks, expenses, and uncertainties frequently encountered by companies in its industry. The Company intends to continue its research, development, and commercialization efforts for its product candidates, which will require significant additional funding. If the Company is unable to obtain additional funding in the future and/or its research, development, and commercialization efforts require higher than anticipated capital, there may be a negative impact on the financial viability of the Company. The Company is currently exploring options to fund its operations through public and private placements of equity and/or debt, payments from potential strategic research and development arrangements, sales of assets, licensing and/or collaboration arrangements with pharmaceutical companies or other institutions, funding from the government, particularly for the development of the Company's novel inhaled mucosal vaccine platform, or funding from other third parties. Such financing and funding may not be available at all, or on terms that are favorable to the Company. While Company management believes that it has a plan to fund operations, its plan may not be successfully implemented. Failure to generate sufficient cash flows from operations, raise additional capital, or appropriately manage certain discretionary spending, could have a material adverse effect on the Company's ability to achieve its intended business objectives.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these factors, together with the anticipated continued spending that will be necessary to continue to research, develop, and commercialize the Company's product candidates, there is substantial doubt about the Company's ability to continue as a going concern within one year after the date that these consolidated financial statements are issued. The consolidated financial statements do not contain any adjustments that might result from the resolution of any of the above uncertainties.</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included herein have been prepared in conformity with accounting principles generally accepted in the United States ("GAAP") and under the rules and regulations of the U.S. Securities and Exchange Commission ("SEC"). The consolidated financial statements include the accounts of Ocugen and its wholly owned subsidiaries. All intercompany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GAAP, management is required to make estimates and assumptions that affect the reported amounts of assets and liabilities and disclosure of contingent assets and liabilities at the date of the financial statements, as well as the reported amounts of expenses during the reporting period. Due to the inherent uncertainty involved in making estimates, actual results reported in future periods may be affected by changes in these estimates. On an ongoing basis, the Company evaluates its estimates and assumptions. These estimates and assumptions include those used in the accounting for research and development contracts, including clinical trial accruals, determination of the collaborative arrangements transaction price, calculating the progress towards the satisfaction of the performance obligations under the collaborative arrangements, and determining the value of the non-cash consideration received under collaborative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viewed its operations and managed its business as one operating segment consistent with how the Company's chief operating decision-maker, the Company's Chief Executive Officer, makes decisions regarding resource allocation and assesses performance. As of December 31, 2023, substantially all of the Company's assets were located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Cash equivalents may include bank demand deposits and money market funds that invest primarily in certificates of deposit, commercial paper, and U.S. government agency securities and treasuries. The Company records interest income received on its cash and cash equivalents to other income (expense), net in the consolidated statements of operations and comprehensive loss. The Company recorded $2.5 million and $1.4 million as interest income for the years ended December 31, 2023 and 2022,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provisions of Financial Accounting Standards Board ("FASB") Accounting Standards Codification ("ASC") Topic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Measurements </w:t>
      </w:r>
      <w:r>
        <w:rPr>
          <w:rFonts w:ascii="Times New Roman" w:cs="Times New Roman" w:eastAsia="Times New Roman" w:hAnsi="Times New Roman"/>
          <w:sz w:val="18"/>
          <w:szCs w:val="18"/>
          <w:color w:val="auto"/>
        </w:rPr>
        <w:t>("ASC 820"), which defines fair value as the exchange price that would be received for an asset or paid to transfer a liability (an exit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quoted prices for similar assets and liabilities in active markets or inputs that are observable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inputs that are unobservable (for example, cash flow modeling inputs based on assumptions)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 of certain financial instruments, including cash and cash equivalents, accounts payable, and accrued expenses, approximates their fair value due to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marketable securities in accordance with FASB ASC Topic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xml:space="preserve"> ("ASC 320"). The Company determines the appropriate classification of its investments in debt securities at the time of purchase. Marketable securities with maturities of 90 days or less at the time of purchase are classified as cash equivalents on the consolidated balance sheets. Debt securities are classified as trading securities if the security is bought and held primarily to be sold in the near term. Debt securities are classified as held-to-maturity if management has both the positive intent and ability to hold until the maturity of the security. Debt securities not classified as trading securities or held-to-maturity securities are classified as available-for-sale securities. The Company's marketable securities were previously comprised of debt securities and were classified as available-for-sale securities. The Company's marketable securities matured during the year ended December 31, 2023.</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Available-for-sale securities are recorded at fair value based on inputs that are observable, either directly or indirectly, such as quoted prices for identical securities in active markets (Level 1) or quoted prices for similar securities in active markets or inputs that are observable (Level 2). Unrealized gains and losses are included in other comprehensive income (loss) in the consolidated statements of operations and comprehensive loss. Amortization of premium or accretion of discount on debt securities are included in other income (expense), net in the consolidated statements of operations and comprehensive loss.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investments in debt securities for other-than-temporary impairment if the fair value of the investment is less than the amortized cost basis. The assessment for other-than-temporary impairment is performed at the individual security level. To date, the Company has not recognized any impairments with respect to its debt securities.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FASB subsequently issued amendments to ASU No. 2016-13, which had the same effective date and transition date of January 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adoption of this standard did not have a material impact on the Company's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and cash equivalents. The Company's cash and cash equivalents are held in accounts at financial institutions that may exceed federally insured limits. The Company has not experienced any credit losses in such accounts and does not believe it is exposed to significant credit risk beyond the standard credit risk associated with commercial banking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property and equipment currently includes furniture and fixtures, machinery and equipment, leasehold improvements, and construction in progress. Property and equipment is recorded at historical cost less accumulated depreciation. Significant additions or improvements are capitalized, and expenditures for repairs and maintenance are charged to expense as incurred. Depreciation is calculated using the straight-line method and is recognized over the expected useful life of the underlying asset. Depreciation expense is included as research and development expense or general and administrative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expense in the consolidated statements of operations and comprehensive loss based on the underlying nature of the associated asset. Construction in progress is not depreciated until such time that the asset is completed and placed into service. The Company's construction in progress as of December 31, 2023 related to the renovation of one of the Company's leased properties to develop a laboratory and manufacturing facility. The major assets that will be utilized in the laboratory and manufacturing facility have not yet been placed into service. Once placed into service, the assets will be depreciated over their expected useful lives.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Expected useful lives by major asset category are as follows:</w:t>
            </w:r>
          </w:p>
        </w:tc>
        <w:tc>
          <w:tcPr>
            <w:tcW w:w="5880" w:type="dxa"/>
            <w:vAlign w:val="bottom"/>
          </w:tcPr>
          <w:p>
            <w:pPr>
              <w:spacing w:after="0"/>
              <w:rPr>
                <w:sz w:val="20"/>
                <w:szCs w:val="20"/>
                <w:color w:val="auto"/>
              </w:rPr>
            </w:pPr>
          </w:p>
        </w:tc>
      </w:tr>
      <w:tr>
        <w:trPr>
          <w:trHeight w:val="243"/>
        </w:trPr>
        <w:tc>
          <w:tcPr>
            <w:tcW w:w="5360" w:type="dxa"/>
            <w:vAlign w:val="bottom"/>
          </w:tcPr>
          <w:p>
            <w:pPr>
              <w:spacing w:after="0"/>
              <w:rPr>
                <w:sz w:val="21"/>
                <w:szCs w:val="21"/>
                <w:color w:val="auto"/>
              </w:rPr>
            </w:pPr>
          </w:p>
        </w:tc>
        <w:tc>
          <w:tcPr>
            <w:tcW w:w="5880" w:type="dxa"/>
            <w:vAlign w:val="bottom"/>
          </w:tcPr>
          <w:p>
            <w:pPr>
              <w:spacing w:after="0"/>
              <w:rPr>
                <w:sz w:val="21"/>
                <w:szCs w:val="2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8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3 to 7 years</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8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5 to 7 years</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8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Shorter of the expected useful life or remaining lease term</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Company's lease agreements include lease and non-lease components, which the Company has elected not to account for separately for all classes of underlying assets. Lease expense for variable lease components is recognized when the obligation is probable.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currently leases real estate classified as operating leases. Operating leases are included in other assets and operating lease obligations in the Company's consolidated balance sheets. At lease commencement, the Company records a lease liability based on the present value of the lease payments over the expected lease term including any options to extend the lease that the Company is reasonably certain to exercise and records a corresponding right-of-use lease asset based on the lease liability, adjusted for any lease incentives received and any initial direct costs paid to the lessor prior to the lease commencement date. Lease expense is recognized on a straight-line basis over the lease term and recognized as research and development expense or general and administrative expense based on the underlying nature of the expense.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requires a lessee to discount its unpaid lease payments using the interest rate implicit in the lease or, if that rate cannot be readily determined, its incremental borrowing rate. The implicit interest rates were not readily determinable in the Company's current operating leases. As such, the incremental borrowing rates were used based on the information available at the commencement dates in determining the present value of lease payments.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term for the Company's leases includes the non-cancellable period of the lease plus any additional periods covered by either an option to extend (or not to terminate) the lease that the Company is reasonably certain to exercise, or an option to extend (or not to terminate) the lease controlled by the lessor.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are comprised of fixed payments, variable payments that depend on an index or rate, and amounts probable to be payable under the exercise of an option to purchase the underlying asset if reasonably certain.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Variable payments not dependent on an index or rate associated with the Company's leases are recognized when the event, activity, or circumstance is probable. Variable payments include the Company's proportionate share of certain utilities and other operating expenses and are presented as operating expenses in the Company's consolidated statements of operations and comprehensive loss in the same line item as expense arising from fixed lease payments.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its assets, including property and equipment, for impairment whenever changes in circumstances or events may indicate that the carrying amounts are not recoverable. These indicators include, but are not limited to, a significant change in the extent or manner in which an asset is used or its physical condition, a significant decrease in the market price of an asset, or a significant adverse change in the business or the industry that could affect the value of an asset. An asset is tested for impairment by comparing the net carrying value of the asset to the undiscounted net cash flows to be generated from the use and eventual disposition of the asset.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awards in accordance with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The Company has issued stock-based compensation awards including stock options and restricted stock units ("RSUs"), and also accounts for certain issuances of preferred stock and warrants in accordance with ASC 718. ASC 718 requires all stock-based payments, including grants of stock options and RSUs, to be recognized in the consolidated statements of operations and comprehensive loss based on their grant date fair values. The Company uses the Black-Scholes option-pricing model to determine the fair value of stock options granted. For RSUs, the fair value of the RSU is determined by the market price of a share of the Company's common stock on the grant date. The Company recognizes forfeitures as they occur.</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Expense related to stock-based compensation awards granted with service-based vesting conditions is recognized on a straight-line basis based on the grant date fair value over the associated service period of the award, which is generally the vesting term. Stock-based compensation awards generally vest over a one to three year requisite service period. Stock options have a contractual term of 10 years. Expense for stock-based compensation awards with performance-based vesting conditions is only recognized when the performance-based vesting condition is deemed probable to occur. Expense related to stock-based compensation awards are recorded to research and development expense or general and administrative expense based on the underlying function of the individual that was granted the stock-based compensation award. Shares issued upon stock option exercise and RSU vesting are newly-issued common shares.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the fair value of stock options requires the input of subjective assumptions, including the expected term of the stock option, stock price volatility, the risk-free interest rate, and expected dividends. The assumptions used in the Company's Black-Scholes option-pricing model represent management's best estimates and involve a number of variables, uncertainties, assumptions, and the application of management's judgment, as they are inherently subjective. If any assumptions change, the Company's stock-based compensation expense could be materially different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Ocugen's Black-Scholes option-pricing model for stock options are as follows: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As Ocugen does not have sufficient historical exercise data to provide a reasonable basis upon which to estimate expected term,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employee stock options subject to service-based vesting conditions is determined using the "simplified" method, as prescribed in SEC's Staff Accounting Bulletin No. 107, whereby the expected term equals the arithmetic average of the vesting term and the original contractual term of the stock option.</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is based on historical volatilities of Ocugen and similar entities within Ocugen's industry for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commensurate with the assumed expected term.</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interest rate payable on U.S. Treasury securities in effect at the time of grant for a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commensurate with the assumed expected term.</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Dividends. </w:t>
      </w:r>
      <w:r>
        <w:rPr>
          <w:rFonts w:ascii="Times New Roman" w:cs="Times New Roman" w:eastAsia="Times New Roman" w:hAnsi="Times New Roman"/>
          <w:sz w:val="18"/>
          <w:szCs w:val="18"/>
          <w:color w:val="auto"/>
        </w:rPr>
        <w:t>The expected dividend yield is 0% because Ocugen has not historically paid, and does not expect for the foreseeable future to pay,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on its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 and Revenue Recognition</w:t>
      </w:r>
    </w:p>
    <w:p>
      <w:pPr>
        <w:spacing w:after="0" w:line="24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 xml:space="preserve">The Company analyzes its collaborative arrangements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This assessment is performed throughout the life of the arrangements based on changes to the arrangements. For collaborative arrangements within the scope of ASC 808 the Company may analogize to ASC 606 for certain elements.</w:t>
      </w:r>
    </w:p>
    <w:p>
      <w:pPr>
        <w:spacing w:after="0" w:line="206"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8"/>
          <w:szCs w:val="18"/>
          <w:color w:val="auto"/>
        </w:rPr>
        <w:t>The Company identifies the goods or services promised within each collaborative arrangement and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entity’s promise to transfer the good or service to the customer is separately identifiable from other promises in the contract.</w:t>
      </w:r>
    </w:p>
    <w:p>
      <w:pPr>
        <w:spacing w:after="0" w:line="21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allocation of the transaction price to the performance obligations in proportion to their standalone selling prices is determined at contract inception. If the consideration promised in a contract includes a variable amount, the Company estimates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spacing w:after="0" w:line="21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In determining the transaction price, the Company adjusts consideration for the effects of the time value of money if the timing of payments provides the Company with a significant benefit of financing. The Company does not assess whether a contract has a significant financing component if the expectation at contract inception is such that the period between payment by the counterparty and the transfer of the promised goods or services to the counterparty will be one year or less. The Company assessed its collaboration arrangements in order to determine whether a significant financing component exists and concluded that a significant financing component does not exist in any of its arrangements.</w:t>
      </w:r>
    </w:p>
    <w:p>
      <w:pPr>
        <w:spacing w:after="0" w:line="21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The Company recognizes as collaboration revenue the amount of the transaction price that is allocated to the respective performance obligation as each performance obligation is satisfied over time, with progress toward completion measured based on actual costs incurred relative to total estimated costs to be incurred over the life of the arrangement. Significant management judgment is required in determining the level of effort required under an arrangement and the period over which the Company is expected to complete their performance obligations under the arrangements. The Company evaluates the measure of progress each reporting period and, if necessary, adjusts the measure of performance and related revenue recognition. Adjustments to original estimates will be required as work progresses and additional information becomes known, even though the scope of the work required under the contract may not change. Any adjustment as a result of a change in estimates is made when facts develop, events become known, or an adjustment is otherwise warranted.</w:t>
      </w:r>
    </w:p>
    <w:p>
      <w:pPr>
        <w:spacing w:after="0" w:line="214" w:lineRule="exact"/>
        <w:rPr>
          <w:sz w:val="20"/>
          <w:szCs w:val="20"/>
          <w:color w:val="auto"/>
        </w:rPr>
      </w:pPr>
    </w:p>
    <w:p>
      <w:pPr>
        <w:ind w:right="560"/>
        <w:spacing w:after="0" w:line="242" w:lineRule="auto"/>
        <w:rPr>
          <w:sz w:val="20"/>
          <w:szCs w:val="20"/>
          <w:color w:val="auto"/>
        </w:rPr>
      </w:pPr>
      <w:r>
        <w:rPr>
          <w:rFonts w:ascii="Times New Roman" w:cs="Times New Roman" w:eastAsia="Times New Roman" w:hAnsi="Times New Roman"/>
          <w:sz w:val="18"/>
          <w:szCs w:val="18"/>
          <w:color w:val="auto"/>
        </w:rPr>
        <w:t>Under the Company’s collaborative arrangements, the timing of revenue recognition and receipt of consideration may differ, and result in assets and liabilities. Assets represent revenues recognized in excess of the consideration received under collaborative arrangement. Liabilities represent the consideration received in excess of revenues recognized under collaborative arrangement.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asset and liability method in accounting for income taxes. Deferred tax assets and liabilities are recorded for temporary differences between the tax basis of assets and liabilities and their reported amounts in the consolidated financial statements, using statutory tax rates in effect for the year in which the differences are expected to reverse. The effect on deferred tax assets and liabilities of a change in tax rates is recognized in the consolidated statements of operations and comprehensive loss in the period that includes the enactment date.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its deferred tax assets each period to ensure that the estimated future taxable income will be sufficient in character, amount, and timing, to result in its realizability. A valuation allowance is recorded to reduce the carrying amounts of deferred tax assets, unless it is more likely than not that those assets will be realized. Management utilizes considerable judgment when establishing deferred tax valuation allowances. The ultimate realization of deferred tax assets is dependent upon the generation of future taxable income during the periods in which those temporary differences and carryforward deferred tax assets become deductible or utilized. The Company considers the scheduled reversal of taxable temporary differences, projected future taxable income, and tax planning strategies in making this assessment. As events and circumstances change, valuation allowances are adjusted within the consolidated statement of operations and comprehensive loss when applicable.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recognizes net tax benefits under the recognition and measurement criteria of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prescribes requirements and other guidance for financial statement recognition and measurement of positions taken or expected to be taken on tax returns. The Company recognizes a tax benefit for positions taken for tax return purposes when it will be more likely than not that the positions will be sustained upon tax examination, based solely on the technical merits of the tax positions. Otherwise, no tax benefit is recognized. The tax benefits recognized are measured based on the largest benefit that has a greater than 50% likelihood of being realized upon ultimate settlement. The Company recognizes potential accrued interest and penalties related to unrecognized tax benefits as a component of income tax expense in the consolidated statement of operations and comprehensive loss. Tax examinations are often complex, as tax authorities may disagree with the treatment of items reported by the Company and may require several years to resolve. As a result, the Company's provision for income taxes is recorded on the basis of available information, but amounts recorded may be impacted as a result of future examinations.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July 2023, the FASB issued Accounting Standards Update ("ASU") No. 2023-03, </w:t>
      </w:r>
      <w:r>
        <w:rPr>
          <w:rFonts w:ascii="Times New Roman" w:cs="Times New Roman" w:eastAsia="Times New Roman" w:hAnsi="Times New Roman"/>
          <w:sz w:val="18"/>
          <w:szCs w:val="18"/>
          <w:i w:val="1"/>
          <w:iCs w:val="1"/>
          <w:color w:val="auto"/>
        </w:rPr>
        <w:t>Presentation of Financial Statements (Topic 205), 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Comprehensive Income (Topic 220), Distinguishing Liabilities from Equity (Topic 480), Equity (Topic 505), and Compensation — Stock Compensation (Topic 718). </w:t>
      </w:r>
      <w:r>
        <w:rPr>
          <w:rFonts w:ascii="Times New Roman" w:cs="Times New Roman" w:eastAsia="Times New Roman" w:hAnsi="Times New Roman"/>
          <w:sz w:val="18"/>
          <w:szCs w:val="18"/>
          <w:color w:val="auto"/>
        </w:rPr>
        <w:t>This standard amends various SEC paragraphs pursuant to the SEC Staff Accounting Bulletin ("SAB") No. 120, SEC Staff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Announcement at the March 24, 2022 Emerging Issues Task Force Meeting, and SAB Topic 6.B, Accounting Series Release 280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General Revision of Regulation S-X: </w:t>
      </w:r>
      <w:r>
        <w:rPr>
          <w:rFonts w:ascii="Times New Roman" w:cs="Times New Roman" w:eastAsia="Times New Roman" w:hAnsi="Times New Roman"/>
          <w:sz w:val="18"/>
          <w:szCs w:val="18"/>
          <w:i w:val="1"/>
          <w:iCs w:val="1"/>
          <w:color w:val="auto"/>
        </w:rPr>
        <w:t>Income or Loss Applicable to Common Stock.</w:t>
      </w:r>
      <w:r>
        <w:rPr>
          <w:rFonts w:ascii="Times New Roman" w:cs="Times New Roman" w:eastAsia="Times New Roman" w:hAnsi="Times New Roman"/>
          <w:sz w:val="18"/>
          <w:szCs w:val="18"/>
          <w:color w:val="auto"/>
        </w:rPr>
        <w:t xml:space="preserve"> This standard did not provide any new guidance and was effective immediately. The adoption of this standard did not have a material impact on the Company's consolidated financial statements.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FASB subsequently issued amendments to ASU No. 2016-13, which had the same effective date and transition date of January 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No. 2016-13, as amended, requires that credit losses be reported using an expected losses model rather than the incurred losses model that was previously used, and establishes additional disclosures related to credit risks. For available-for-sale debt securities with unrealized losses, these standards now require allowances to be recorded instead of reducing the amortized cost of the investment. These standards limit the amount of credit losses to be recognized for available-for-sale debt securities to the amount by which carrying value exceeds fair value and requires the reversal of previously recognized credit losses if fair value increases. The standard was effective for the Company on January 1, 2023. The adoption of this standard did not have a material impact on the Company's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statements disclosures.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Improvements to Reportable Segment Disclosures”. This guidance expands public entities’ segment disclosures primarily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guidance is effective for fiscal years beginning after December 15, 2023, and interim periods within fiscal years beginning after December 15, 2024, with early adoption permitted. The amendments are required to be applied retrospectively to all prior periods presented in an entity’s financial statements. The Company is currently evaluating this guidance to determine the impact it may have on its consolidated financial statements related disclosures.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 — Debt with Conversion and Other Options (Subtopic 470-20) and 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 (Subtopic 815-40)</w:t>
      </w:r>
      <w:r>
        <w:rPr>
          <w:rFonts w:ascii="Times New Roman" w:cs="Times New Roman" w:eastAsia="Times New Roman" w:hAnsi="Times New Roman"/>
          <w:sz w:val="18"/>
          <w:szCs w:val="18"/>
          <w:color w:val="auto"/>
        </w:rPr>
        <w:t>. This standard will have an effective and transition date of January 1, 2024. Early adoption is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This standard simplifies an issuer's accounting for convertible instruments by eliminating two of the three models that require separate accounting for embedded conversion features as well as simplifies the settlement assessment that entities are required to perform to determine whether a contract qualifies for equity classification. This standard also requires entities to use the if-converted method for all convertible instruments in the diluted earnings per share calculation and includes the effect of potential share settlement (if the effect is more dilutive) for instruments that may be settled in cash or shares, except for certain liability-classified share-based payment awards. The standard requires new disclosures about events that occur during the reporting period that cause conversion contingencies to be met and about the fair value of a public business entity's convertible debt at the instrument level, among other things. The Company does not currently expect the adoption of this standard to have a material impact on the Company's consolidated financial statements.</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License and Development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Co-Development and Commercialization Agreement with CanSino Biologics, Inc.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entered into a co-development and commercialization agreement with CanSino Biologics, Inc. ("CanSinoBIO") with respect to the development and commercialization of the Company's modifier gene therapy product candidates, OCU400,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OCU410, and OCU410ST. The co-development and commercialization agreement was originally entered into in September 2019 ("the Original CanSinoBIO Agreement") with regards to OCU400, and was subsequently amended in September 2021 and November 2022 ("the Amendments"), to include OCU410 and OCU410ST, respectively. The Company concluded that the Original CanSinoBIO Agreement and the Amendments are separate contracts (collectively referred to as the "CanSinoBio Agreements"). Pursuant to the CanSinoBIO Agreements, the Company and CanSinoBIO are collaborating on the development of the Company's modifier gene therapy platform. CanSinoBIO is responsible for the chemistry, manufacturing, and controls development and manufacture of clinical supplies of such products and is responsible for the costs associated with such activities. CanSinoBIO has an exclusive license to develop, manufacture, and commercialize the Company's modifier gene therapy platform in and for China, Hong Kong, Macau, and Taiwan (the "CanSinoBIO Territory"), and the Company maintains exclusive development, manufacturing, and commercialization rights with respect to the Company's modifier gene therapy platform outside the CanSinoBIO Territory (the "Company Territory").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any of the product candidates be commercialized in any of the related territories, CanSinoBIO will pay to the Company an annual royalty between mid- and high-single digits based on Net Sales (as defined in the CanSinoBIO Agreements) of the products included in the Company's modifier gene therapy platform in the CanSinoBIO Territory. The Company will pay to CanSinoBIO an annual royalty between low- and mid-single digits based on Net Sales of the products included in the Company's modifier gene therapy platform in the Company Territory.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 and revenue recognition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determined the collaboration arrangements with CanSinoBIO, are within the scope of ASC 808 and has analogized to ASC 606 to account for CanSinoBIO's access to its IP as well as data generated in connection with the co-development activities to be undertaken by Ocugen. These elements of the arrangements are not distinct and are accounted for as a single performance obligation.</w:t>
      </w:r>
    </w:p>
    <w:p>
      <w:pPr>
        <w:spacing w:after="0" w:line="18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The non-cash consideration to be received related to the Company's satisfaction of the performance obligations includes but is not limited to services relate to chemistry, manufacturing, and controls development and manufacture of clinical supplies of such products through completion of pre-clinical, clinical, regulatory, and other commercialization readiness services. The estimated market value of the co-development services to be performed by CanSinoBIO, represents variable consideration that is included in the transaction price. The Company recognizes collaborative arrangement revenue over time using an input method using ratio of costs incurred to date compared to total estimated costs require to satisfy the performance obligations under the CanSinoBIO Agreements.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constrained the transaction price related to certain future co-development services and future royalties, as it assessed that it is probable that the inclusion of such variable consideration could result in a significant reversal of cumulative revenue in future periods. The variable consideration is reevaluated at each reporting period and as changes in circumstances occur.</w:t>
      </w:r>
    </w:p>
    <w:p>
      <w:pPr>
        <w:spacing w:after="0" w:line="2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services provided by CanSinoBIO are recorded as incurred and the difference between the revenue and expense recognized is recorded on the Company's balance sheet as a contract liability within Accrued expenses and other current liabilities. The related revenue recognized was recorded in the consolidated statements of operations and comprehensive loss as collaborative arrangement revenue and was approximately $6.0 million and $2.5 million for the year ended December 31, 2023 and the year ended December 31, 2022, respectively. The related expense incurred for services provided by CanSinoBIO was recorded in the consolidated statements of operations and comprehensive loss as research and development expense and was approximately $5.3 million and $9.1 million for the year ended December 31, 2023 and the year ended December 31, 2022, respectively.</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contract liability was $10.5 million and $11.2 million as of December 31, 2023 and December 31, 2022, respectively. Revenue recognized for the year ended December 31, 2023, that was included in the contract liabilities balances as of January 1, 2023 was approximately $6.0 million. Revenue recognized for the year ended December 31, 2022, that was included in the contract liabilities balances as of January 1, 2022, was approximately $2.5 million.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NIAID Project NextGen Clinical trial support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OCU500 was selected by the NIAID Project NextGen for inclusion in clinical trials. Project NextGen is a $5 billion multi-government agency initiative to develop the next generation of vaccines and therapeutics to combat the spread of COVID-19. NIAID, with funding from Project NextGen, will cover the full cost of the clinical trials, including operations and related analysis. Ocugen will be responsible for providing clinical trial materials and upon completion will have full right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reference to the findings, which Ocugen believes will provide clinical evidence to support the further development of the Company’s lead mucosal vaccine candidate.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Washington University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2022, the Company entered into the WU License Agreement with Washington University, pursuant to which the Company was granted an exclusive, sublicensable, royalty-bearing license to patent rights for an inhaled mucosal COVID-19 vaccine, as well as a license to certain tangible research property and technical information necessary to exploit the patent rights within the United States, Europe, and Japan. The Company paid Washington University an initial license issuance fee of $1.0 million, which was recognized as research and development expense in the consolidated statement of operations and comprehensive loss during the year ended December 31, 2022. In January 2023, the Company amended the WU License Agreement to add the countries of South Korea, Australia, and China to the Mucosal Vaccine Territory, and in November 2023, the Company further amended the WU License Agreement to add Hong Kong to the Mucosal Vaccine Territory. The Company is required to pay Washington University an annual license maintenance fee, payments upon the achievement of certain development and commercial milestones in the aggregate amount of up to $37.0 million, and low single-digit percentage royalties on Net Sales of licensed products (as defined in the WU License Agreement).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WU License Agreement, the Company may make, have made, sell, offer for sale, use, market, promote, distribute, export, and import licensed products in the Mucosal Vaccine Territory. The Company will use commercially reasonable efforts to develop, manufacture, promote, and sell the licensed products in the Mucosal Vaccine Territory.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Washington University maintains control of patent preparation, filing, prosecution, and maintenance. The Company is responsible for Washington University's out-of-pocket expenses related to the preparation, filing, prosecution, issuance, and maintenance of the licensed patent rights incurred pursuant to the WU License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WU License Agreement will expire on a country-by-country basis and a licensed product-by-licensed product basis and end, separately in each such country and for each such licensed product, upon the latter of (a) the expiration date of the last valid claim, (b) the fifteenth (15th) anniversary of the date of the first commercial sale of a licensed product, or (c) the expiration of the last form of market exclusivity (as defined in the WU License Agreement), subject to the earlier termination of the WU License Agreement in accordance with its terms. In addition, the Company may terminate the WU License Agreement without cause by giving at least 90 days written notice. The WU License Agreement contains customary termination provisions in the event of an uncured material breach or upon certain corporate actions, including bankruptcy, receivership, or liquidation.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The Schepens Eye Research Institute,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2017, the Company entered into an exclusive license agreement with The Schepens Eye Research Institute, Inc. ("SERI"), which was amended in January 2021 (as so amended, the "SERI Agreement"). The SERI Agreement gives the Company an exclusive, worldwide, sublicensable license to patent rights, biological materials, and technical information for NHR genes Nuclear Receptor Subfamily 1 Group D Member 1 ("</w:t>
      </w:r>
      <w:r>
        <w:rPr>
          <w:rFonts w:ascii="Times New Roman" w:cs="Times New Roman" w:eastAsia="Times New Roman" w:hAnsi="Times New Roman"/>
          <w:sz w:val="18"/>
          <w:szCs w:val="18"/>
          <w:i w:val="1"/>
          <w:iCs w:val="1"/>
          <w:color w:val="auto"/>
        </w:rPr>
        <w:t>NR1D1")</w:t>
      </w:r>
      <w:r>
        <w:rPr>
          <w:rFonts w:ascii="Times New Roman" w:cs="Times New Roman" w:eastAsia="Times New Roman" w:hAnsi="Times New Roman"/>
          <w:sz w:val="18"/>
          <w:szCs w:val="18"/>
          <w:color w:val="auto"/>
        </w:rPr>
        <w:t xml:space="preserve">, NR2E3 (OCU400),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(OCU410 and OCU410ST), Nuclear Protein 1, Transcriptional Regulator (</w:t>
      </w:r>
      <w:r>
        <w:rPr>
          <w:rFonts w:ascii="Times New Roman" w:cs="Times New Roman" w:eastAsia="Times New Roman" w:hAnsi="Times New Roman"/>
          <w:sz w:val="18"/>
          <w:szCs w:val="18"/>
          <w:i w:val="1"/>
          <w:iCs w:val="1"/>
          <w:color w:val="auto"/>
        </w:rPr>
        <w:t>"NUPR1"</w:t>
      </w:r>
      <w:r>
        <w:rPr>
          <w:rFonts w:ascii="Times New Roman" w:cs="Times New Roman" w:eastAsia="Times New Roman" w:hAnsi="Times New Roman"/>
          <w:sz w:val="18"/>
          <w:szCs w:val="18"/>
          <w:color w:val="auto"/>
        </w:rPr>
        <w:t>), and Nuclear Receptor Subfamily 2 Group C Member 1 (</w:t>
      </w:r>
      <w:r>
        <w:rPr>
          <w:rFonts w:ascii="Times New Roman" w:cs="Times New Roman" w:eastAsia="Times New Roman" w:hAnsi="Times New Roman"/>
          <w:sz w:val="18"/>
          <w:szCs w:val="18"/>
          <w:i w:val="1"/>
          <w:iCs w:val="1"/>
          <w:color w:val="auto"/>
        </w:rPr>
        <w:t>"NR2C1"</w:t>
      </w:r>
      <w:r>
        <w:rPr>
          <w:rFonts w:ascii="Times New Roman" w:cs="Times New Roman" w:eastAsia="Times New Roman" w:hAnsi="Times New Roman"/>
          <w:sz w:val="18"/>
          <w:szCs w:val="18"/>
          <w:color w:val="auto"/>
        </w:rPr>
        <w:t>). The January 2021 amendment to the SERI Agreement additionally granted the Company rights in co-owned intellectual property pursuant to certain patents and provisional patents at the time of the amendment. Under the SERI Agreement, the Company may make, have made, use, offer to sell, sell, and import licensed products, and must use commercially reasonable efforts to bring one or more licensed products to market as soon as reasonably practicable.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SERI maintains control of patent preparation, filing, prosecution, and maintenance. The Company is responsible for SERI's out-of-pocket expenses related to the filing, prosecution, and maintenance of the licensed patent rights. In the event that SERI decides to discontinue the prosecution or maintenance of the licensed patent rights, the Company has the right, but not the obligation, to file for, or continue to prosecute, maintain, or enforce such licensed patent rights. The Company has assumed prosecution of certain licensed patent rights under the SERI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the University of Colorado</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2014, the Company entered into an exclusive license agreement with the University of Colorado ("CU"), which was amended in January 2017 and clarified by a letter of understanding in November 2017 (as so amended and clarified, the "CU Agreement"). The CU Agreement gives the Company an exclusive, worldwide, sublicensable license to patents for OCU200 to make, have made, use, import, offer to sell, sell, have sold, and practice the licensed products in all therapeutic applications. Under the CU Agreement, the Company must use commercially reasonable efforts to develop, manufacture, sublicense, market, and sell the licensed products, and has assumed primary responsibility for preparing, filing, and prosecuting broad patent claims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OCU200 for CU's benefit. Further, the Company assumed primary responsibility for all patent activities, including all costs associated with the perfection and maintenance of the patents for OCU200.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Purpose Co. Ltd.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2005, Histogenics Corporation ("Histogenics") entered into an exclusive agreement (the "Purpose Agreement") to sublicense certain technology from Purpose Co. Ltd. ("Purpose"), which the Company assumed as a result of its reverse merger with Histogenics. Purpose entered into the original license agreement ("BWH-Purpose Agreement") with Brigham and Women's Hospital, Inc. ("BWH") in August 2001. The BWH-Purpose Agreement granted Purpose an exclusive, royalty-bearing, worldwide, sublicensable license, under its rights in licensed patents and patent applications co-owned by BWH and Purpose to make, use, and sell (1) an apparatus for cultivating a cell or tissue, (2) cell or tissue products made using such apparatus,</w:t>
      </w:r>
    </w:p>
    <w:p>
      <w:pPr>
        <w:spacing w:after="0" w:line="3" w:lineRule="exact"/>
        <w:rPr>
          <w:sz w:val="20"/>
          <w:szCs w:val="20"/>
          <w:color w:val="auto"/>
        </w:rPr>
      </w:pPr>
    </w:p>
    <w:p>
      <w:pPr>
        <w:jc w:val="both"/>
        <w:ind w:firstLine="8"/>
        <w:spacing w:after="0" w:line="255" w:lineRule="auto"/>
        <w:tabs>
          <w:tab w:leader="none" w:pos="27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 or tissue products made using processes for cultivating a cell or tissue as disclosed in the licensed patents and patent applications, and (4) any apparatus that cultivates cells or tissues using such processes, in each case, whose manufacture, use, or sale is covered by a valid claim of the licensed patents and patent applications, only for therapeutic use.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Agreement was amended and restated in June 2012, pursuant to which Purpose granted Histogenics outside of Japan: (i) exclusive rights to all of Purpose's technology (owned or licensed) related to the exogenous tissue processors, which is used in the development of NeoCart, (ii) continued supply of exogenous tissue processors, and (iii) rights to manufacture the exogenous tissue processors at any location the Company chooses. In exchange for such consideration, Purpose was granted an exclusive license in Japan for the use of all of the Company's NeoCart technology and was reimbursed for development costs on a multi-unit exogenous tissue processor. In May 2016, the Purpose Agreement was amended, whereby Histogenics reacquired the development and commercialization rights to NeoCart in Japan.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Purpose Agreement, as amended, provides the Company with the ability, worldwide, to (i) use, make, have made, sell, offer for sale, import or otherwise exploit products or services covered by claims of Purpose's patents and (ii) use, reproduce, modify, create derivative works of and otherwise exploit Purpose's technology for the design, development, manufacture, testing, support, and commercialization of any product or service that incorporates or builds upon Purpose's technology, in each case, only in connection with articular cartilage, ligaments, tendons, and meniscus. Purpose retains the right to sell its single unit exogenous tissue processer machines to research institutes for general but noncommercial use anywhere in the world.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the classification by level of input within the fair value hierarchy of financial assets as of December 31, 2022 that are recurring fair value measurements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44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4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15,899</w:t>
            </w:r>
          </w:p>
        </w:tc>
        <w:tc>
          <w:tcPr>
            <w:tcW w:w="100" w:type="dxa"/>
            <w:vAlign w:val="bottom"/>
          </w:tcPr>
          <w:p>
            <w:pPr>
              <w:spacing w:after="0"/>
              <w:rPr>
                <w:sz w:val="19"/>
                <w:szCs w:val="19"/>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16,898</w:t>
            </w: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0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w:t>
            </w:r>
          </w:p>
        </w:tc>
      </w:tr>
      <w:tr>
        <w:trPr>
          <w:trHeight w:val="229"/>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15,899</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30,269</w:t>
            </w:r>
          </w:p>
        </w:tc>
      </w:tr>
      <w:tr>
        <w:trPr>
          <w:trHeight w:val="21"/>
        </w:trPr>
        <w:tc>
          <w:tcPr>
            <w:tcW w:w="4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valuation of the Company's cash and cash equivalents totaling $39.5 million, which includes $38.2 million in money markets, as of December 31, 2023, utilized Level 1 inputs. The valuation of the Company's marketable securities, which matured during the year ended December 31, 2023, utilized Level 2 inputs. See Note 2 for additional information. Further, the Company believes the fair value using Level 2 inputs of the borrowings under the EB-5 Loan Agreement (as defined in Note 9) approximate their carrying value. See Note 9 for additional information.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
        <w:t>Marketable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marketable securities matured during the year ended December 31, 2023. The following table provides the amortized cost basis and fair value of the Company's available-for-sale investments as of December 31, 2022 by security type as reflected on the consolidated balance sheets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6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300" w:type="dxa"/>
            <w:vAlign w:val="bottom"/>
          </w:tcPr>
          <w:p>
            <w:pPr>
              <w:spacing w:after="0"/>
              <w:rPr>
                <w:sz w:val="16"/>
                <w:szCs w:val="16"/>
                <w:color w:val="auto"/>
              </w:rPr>
            </w:pPr>
          </w:p>
        </w:tc>
        <w:tc>
          <w:tcPr>
            <w:tcW w:w="13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43" w:lineRule="exact"/>
        <w:rPr>
          <w:sz w:val="20"/>
          <w:szCs w:val="20"/>
          <w:color w:val="auto"/>
        </w:rPr>
      </w:pPr>
    </w:p>
    <w:p>
      <w:pPr>
        <w:ind w:right="880"/>
        <w:spacing w:after="0" w:line="250" w:lineRule="auto"/>
        <w:rPr>
          <w:sz w:val="20"/>
          <w:szCs w:val="20"/>
          <w:color w:val="auto"/>
        </w:rPr>
      </w:pPr>
      <w:r>
        <w:rPr>
          <w:rFonts w:ascii="Times New Roman" w:cs="Times New Roman" w:eastAsia="Times New Roman" w:hAnsi="Times New Roman"/>
          <w:sz w:val="18"/>
          <w:szCs w:val="18"/>
          <w:color w:val="auto"/>
        </w:rPr>
        <w:t>The following table provides a summary of the major components of property and equipment as reflected on the consolidated balance sheets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Operating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commitments under operating leases for office, laboratory, and future manufacturing space in Malvern, Pennsylvania. The Company's corporate headquarters lease has initial terms of approximately seven years and includes options to extend the lease for up to 10 years. The Company's current GMP facility lease has initial terms of seven years and includes an option to extend the lease for up to five years.</w:t>
      </w:r>
    </w:p>
    <w:p>
      <w:pPr>
        <w:spacing w:after="0" w:line="18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As of December 2023, the Company determined that it was reasonably certain that the current GMP facility’s option for extension of the lease would be exercised whereas previously this certainty did not exist. According to ASC 842-10-35-1, a lessee shall reassess the lease term if there is a significant event that is within the control of the lessee that directly affects whether the lessee is reasonably certain to exercise an option to extend the lease. The Company determined the significant event to be the completion of the renovations of the existing facility into a current GMP facility. According to ASC 842-20-35-4, a lessee shall remeasure the lease liability to reflect changes to the lease payments. A lessee shall recognize the amount of the remeasurement of the lease liability as an adjustment to the right-of-use asset. As such, the lease liability and the right-of-use asset both increased by $0.6 million. There was no change to the Statement of Operations as of December 31, 2023, as a result of this remeasurement.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As a result of the remeasurement of the lease liability and the right-of-use asset, the leasehold improvements were reassessed, and the remaining lease terms were adjusted on a prospective basis as described in </w:t>
      </w:r>
      <w:r>
        <w:rPr>
          <w:rFonts w:ascii="Times New Roman" w:cs="Times New Roman" w:eastAsia="Times New Roman" w:hAnsi="Times New Roman"/>
          <w:sz w:val="18"/>
          <w:szCs w:val="18"/>
          <w:color w:val="242424"/>
        </w:rPr>
        <w:t>ASC</w:t>
      </w:r>
      <w:r>
        <w:rPr>
          <w:rFonts w:ascii="Times New Roman" w:cs="Times New Roman" w:eastAsia="Times New Roman" w:hAnsi="Times New Roman"/>
          <w:sz w:val="18"/>
          <w:szCs w:val="18"/>
          <w:color w:val="auto"/>
        </w:rPr>
        <w:t xml:space="preserve"> 842-20-35-12. </w:t>
      </w:r>
      <w:r>
        <w:rPr>
          <w:rFonts w:ascii="Times New Roman" w:cs="Times New Roman" w:eastAsia="Times New Roman" w:hAnsi="Times New Roman"/>
          <w:sz w:val="18"/>
          <w:szCs w:val="18"/>
          <w:color w:val="242424"/>
        </w:rPr>
        <w:t>There is no change to the Statement of Operations as of December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6"/>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8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gridSpan w:val="5"/>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obligations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8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6"/>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terms (years)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4"/>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522"/>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base rent payments are approximately as follows (in thousands):</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0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(1,691)</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Accrued Expenses and Other Current Liabilities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major components of accrued expenses and other current liabilities as reflected on the consolidated balance sheets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360" w:type="dxa"/>
            <w:vAlign w:val="bottom"/>
            <w:gridSpan w:val="4"/>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4"/>
        </w:trPr>
        <w:tc>
          <w:tcPr>
            <w:tcW w:w="7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1"/>
        </w:trPr>
        <w:tc>
          <w:tcPr>
            <w:tcW w:w="78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29"/>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Clinical</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r>
      <w:tr>
        <w:trPr>
          <w:trHeight w:val="230"/>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fees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9"/>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Employee-related</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relating to collaborative arrangements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w:t>
            </w:r>
          </w:p>
        </w:tc>
      </w:tr>
      <w:tr>
        <w:trPr>
          <w:trHeight w:val="230"/>
        </w:trPr>
        <w:tc>
          <w:tcPr>
            <w:tcW w:w="7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Debt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2016, in connection with the U.S. government's foreign national investor program, commonly known as the EB-5 Program, the Company entered into a financing arrangement (the "EB-5 Loan Agreement") which provided for cumulative borrowings of up to $10.0 million from EB5 Life Sciences, L.P. ("EB-5 Life Sciences") as the lender. Pursuant to the EB-5 Loan Agreement, borrowings were made in $0.5 million increments with a fixed interest rate of 4.0% per annum (the "Original Offering"). The borrowings pursuant to the Original Offering are secured by substantially all of the Company's assets, with the exception of any patents, patent applications, pending patents, patent licenses, patent sublicenses, trademarks, and other intellectual property rights held by the Company.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and conditions of the Original Offering, the Company borrowed $1.0 million during 2016, $0.5 million during 2020, $0.5 million in September 2022, and an additional $0.5 million in May 2023. Issuance costs were recognized as a reduction to the loan balance and are amortized to interest expense over the term of each borrowing. Pursuant to the Original Offering, each outstanding borrowing, including accrued interest, becomes due upon the seventh anniversary of its disbursement date, subject to certain extension provisions. In January 2024, the Company entered into an agreement to extended the current portion of borrowings owed under the EB-5 Loan Agreement to March 2025. Once repaid, amounts cannot be re-drawn.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March 2022 EB-5 Reform and Integrity Act of 2022 (the "RIA") enacted changes to the EB-5 Program, including but not limited to: raising the minimum investment amount for a targeted employment area (the "TEA") from its previous level of $0.5 million to its new level of $0.8 million, as well as modifying the process for the creation of TEAs. Under the previous regime, the state in which the TEA would be located could send a letter in support of efforts to designate a TEA. Under the current regime, only U.S. Citizenship and Immigration Services can designate TEAs.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aforementioned changes to the EB-5 Program, the Original Offering was amended in May 2023 (the "Amended Offering"). Pursuant to the terms and conditions of the Amended Offering, EB-5 Life Sciences now provides for cumulative borrowings of up to $20.0 million. Future borrowings can be made in increments of $0.8 million with a fixed interest rate of 4.0% per annum. Each future borrowing pursuant to the Amended Offering, including accrued interest, will become due upon the seventh anniversary of its disbursement date. The Company has not made any borrowings pursuant to the Amended Offering as of December 31,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 borrowings pursuant to the Original Offering as of December 31, 2023 and 2022 are summarized below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outstanding</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accrued interest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net</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w:t>
            </w:r>
          </w:p>
        </w:tc>
      </w:tr>
      <w:tr>
        <w:trPr>
          <w:trHeight w:val="20"/>
        </w:trPr>
        <w:tc>
          <w:tcPr>
            <w:tcW w:w="7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Offerings of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2023, the Company entered into an underwriting agreement with an underwriter, pursuant to which the Company sold 30.0 million shares of its common stock at a public offering price of $0.50 per share (the "May 2023 Public Offering"). The Company received net proceeds of $14.8 million after deducting equity issuance costs. The May 2023 Public Offering was made pursuant to the Company's Registration Statement on Form S-3, which was previously filed with the SEC and became effective on April 21, 2023, as supplemented by a prospectus supplement, dated May 24, 2023.</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2022, the Company entered into an underwriting agreement with an underwriter, pursuant to which the Company sold 16.0 million shares of its common stock at a public offering price of $3.13 per share. The Company received net proceeds of $49.8 million, after deducting equity issuance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 entered into an At Market Issuance Sales Agreement (the "Sales Agreement") with certain agents, pursuant to which the Company could, from time to time, offer and sell shares of its common stock having an aggregate gross sales price of up to $160.0 million. During the year ended December 31, 2023, the Company sold 4.5 million shares of its common stock and received net proceeds of $5.6 million after deducting issuance costs of $0.2 million. The Sales Agreement was terminated in February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COVAXIN Preferred Stock Purchase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2021, the Company entered into a preferred stock purchase agreement (the "Preferred Stock Purchase Agreement") with Bharat Biotech International Limited ("Bharat Biotech"), pursuant to which the Company agreed to issue and sell 0.1 million shares of the Company's Series B Convertible Preferred Stock, par value $0.01 per share (the "Series B Convertible Preferred Stock"), at a price per share equal to $109.60, to Bharat Biotech. On March 18, 2021, the Company issued the Series B Convertible Preferred Stock as an advance payment of $6.0 million for the supply of COVAXIN, a monovalent vaccine, to be provided by Bharat Biotech pursuant to a Development and Commercial Supply Agreement (the "Supply Agreement").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share of Series B Convertible Preferred Stock was convertible, at the option of Bharat Biotech, into 10 shares of the Company's common stock (the "Conversion Ratio") only after (i) the Company received stockholder approval to increase the number of authorized shares of common stock under its Sixth Amended and Restated Certificate of Incorporation, which the Company received in April 2021, and (ii) the Company's receipt of shipments by Bharat Biotech of the first 10.0 million doses of COVAXIN manufactured by Bharat Biotech pursuant to the Supply Agreement, and further on the terms and subject to the conditions set forth in the Certificate of Designation of Preferences, Rights and Limitations of Series B Convertible Preferred Stock. The conversion rate of the Series B Convertible Preferred Stock was subject to adjustment in the event of a stock dividend, stock split, reclassification, or similar event with respect to the Company's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accounted for the issuance of the Series B Convertible Preferred Stock in accordance with ASC 718 and recorded its grant date fair value of $5.0 million within stockholders' equity during the year ended December 31, 2021, with a corresponding short-term asset for the advanced payment for the supply of COVAXIN included in prepaid expenses and other current assets in the consolidated balance sheet as of December 31, 2021. The Company utilized the traded common stock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price, adjusted by the Conversion Ratio, to value the Series B Convertible Preferred Stock and the Finnerty model to estimate a 15% discount rate for the lack of marketability of the instrument. The valuation incorporated Level 3 inputs in the fair value hierarchy, including the estimated time until the instrument's liquidity and estimated volatility of the Company's common stock as of the grant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December 31, 2022, the remaining balance of the short-term asset for the advanced payment for the supply of COVAXIN was $4.1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2023, the FDA announced the cancellation of all emergency use authorizations ("EUA") issued with respect to monovalent COVID-19 vaccine formulations. Consequently, the Company determined it was no longer commercially viable to further the development of COVAXIN in its North American territories. During the year ended December 31, 2023, the Company wrote off the remaining balance of the short-term asset for the advanced payment for the supply of COVAXIN of $4.1 million to research and development expense in the consolidated statements of operations and comprehensive loss.</w:t>
      </w:r>
    </w:p>
    <w:p>
      <w:pPr>
        <w:spacing w:after="0" w:line="17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2021, the Company entered into a consulting agreement with regard to the Company's Canadian operations (the "Canada Consulting Agreement"). Compensation under the Canada Consulting Agreement included the issuance of warrants to purchase up to 0.2 million shares of the Company's common stock (the "Canada Warrants") and cash payments of up to $3.0 million, both dependent upon the achievement of certain milestones related to COVAXIN. The Canada Warrants were issued on July 15, 2021, have an exercise price of $6.36 per share, and were accounted for in accordance with ASC 718. In connection with the Company's decision to terminate the COVAXIN program, the Canada Consulting Agreement and the Canada Warrants were terminated by mutual agreement in June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Warrants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Beginning in 2016, Ocugen OpCo, Inc., the Company's wholly owned subsidiary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OpCo" issued warrants to purchase the Company's common stock (the "OpCo Warrants"). As of December 31, 2023 and 2022, 0.6 million OpCo Warrants were outstanding. As of December 31, 2023, the outstanding OpCo Warrants had a weighted-average exercise price of $6.23 per share and expire between 2026 and 2027.</w:t>
      </w:r>
    </w:p>
    <w:p>
      <w:pPr>
        <w:spacing w:after="0" w:line="17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 options and RSUs is reflected in the consolidated statements of operations and comprehensive loss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76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$8.6 million of unrecognized stock-based compensation expense related to stock options and RSUs outstanding, which is expected to be recognized over a weighted average period of 1.5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two equity compensation plans, the 2014 Ocugen OpCo, Inc. Stock Option Plan (the "2014 Plan") and the Ocugen, Inc. 2019 Equity Incentive Plan (the "2019 Plan", collectively with the 2014 Plan, the "Plans"). On the first business day of each fiscal year, pursuant to the "Evergreen" provision of the 2019 Plan, the aggregate number of shares that may be issued under the 2019 Plan will automatically increase by a number equal to the lesser of 4% of the total number of shares of the Company's common stock outstanding on December 31st of the prior year, or a number of shares determined by the Board of Directors. As of December 31, 2023, the 2014 Plan and the 2019 Plan authorize for the granting of up to 0.8 million and 28.4 million equity awards in respect to the Company's common stock, respectively. The 2014 Plan and 2019 Plan have 0.4 million and 9.8 million equity awards remaining available for future grant, respectively, as of December 31, 2023. In addition to stock options and RSUs granted under the Plans, the Company has granted certain stock options and RSUs as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inducements to employment in accordance with Nasdaq Listing Rule 5635 (c)(4), which were granted outside of the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to Purchase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utilized in the fair value calculations for stock options as of December 31, 2023 and 2022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6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expected option term (years)</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8"/>
                <w:szCs w:val="18"/>
                <w:color w:val="auto"/>
                <w:w w:val="97"/>
              </w:rPr>
              <w:t>5.9</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expected stock price volatility</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103% – 109%</w:t>
            </w:r>
          </w:p>
        </w:tc>
        <w:tc>
          <w:tcPr>
            <w:tcW w:w="200" w:type="dxa"/>
            <w:vAlign w:val="bottom"/>
          </w:tcPr>
          <w:p>
            <w:pPr>
              <w:spacing w:after="0"/>
              <w:rPr>
                <w:sz w:val="19"/>
                <w:szCs w:val="19"/>
                <w:color w:val="auto"/>
              </w:rPr>
            </w:pPr>
          </w:p>
        </w:tc>
        <w:tc>
          <w:tcPr>
            <w:tcW w:w="144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8"/>
              </w:rPr>
              <w:t>106% – 110%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expected stock price volatility</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8"/>
                <w:szCs w:val="18"/>
                <w:color w:val="auto"/>
                <w:w w:val="99"/>
              </w:rPr>
              <w:t>107%</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risk-free interest rate</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3.5% – 4.4%</w:t>
            </w:r>
          </w:p>
        </w:tc>
        <w:tc>
          <w:tcPr>
            <w:tcW w:w="200" w:type="dxa"/>
            <w:vAlign w:val="bottom"/>
          </w:tcPr>
          <w:p>
            <w:pPr>
              <w:spacing w:after="0"/>
              <w:rPr>
                <w:sz w:val="19"/>
                <w:szCs w:val="19"/>
                <w:color w:val="auto"/>
              </w:rPr>
            </w:pPr>
          </w:p>
        </w:tc>
        <w:tc>
          <w:tcPr>
            <w:tcW w:w="144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8"/>
              </w:rPr>
              <w:t>1.4% – 4.2%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52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24"/>
                <w:szCs w:val="24"/>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0" w:type="dxa"/>
            <w:vAlign w:val="bottom"/>
          </w:tcPr>
          <w:p>
            <w:pPr>
              <w:spacing w:after="0"/>
              <w:rPr>
                <w:sz w:val="17"/>
                <w:szCs w:val="17"/>
                <w:color w:val="auto"/>
              </w:rPr>
            </w:pPr>
          </w:p>
        </w:tc>
        <w:tc>
          <w:tcPr>
            <w:tcW w:w="14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2022</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10,851,287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5,042,621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(2,437,680)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13,161,228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2023</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6,578,928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years ended December 31, 2023 and 2022 were $0.85 and $3.12, respectively. The total fair value of stock options vested during the years ended December 31, 2023 and 2022 were $8.9 million and $6.1 million, respectively. During the years ended December 31, 2023 and 2022, the Company received $0.1 million and $1.3 million of cash proceeds from the exercises of stock options,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RSU activity: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20" w:type="dxa"/>
            <w:vAlign w:val="bottom"/>
          </w:tcPr>
          <w:p>
            <w:pPr>
              <w:spacing w:after="0"/>
              <w:rPr>
                <w:sz w:val="16"/>
                <w:szCs w:val="16"/>
                <w:color w:val="auto"/>
              </w:rPr>
            </w:pP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at December 31, 2022</w:t>
            </w:r>
          </w:p>
        </w:tc>
        <w:tc>
          <w:tcPr>
            <w:tcW w:w="19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3,389,933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(1,050,963)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at December 31, 2023</w:t>
            </w:r>
          </w:p>
        </w:tc>
        <w:tc>
          <w:tcPr>
            <w:tcW w:w="19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2,982,661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858"/>
        </w:trPr>
        <w:tc>
          <w:tcPr>
            <w:tcW w:w="4200" w:type="dxa"/>
            <w:vAlign w:val="bottom"/>
          </w:tcPr>
          <w:p>
            <w:pPr>
              <w:spacing w:after="0"/>
              <w:rPr>
                <w:sz w:val="24"/>
                <w:szCs w:val="24"/>
                <w:color w:val="auto"/>
              </w:rPr>
            </w:pPr>
          </w:p>
        </w:tc>
        <w:tc>
          <w:tcPr>
            <w:tcW w:w="366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F-24</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losses before income taxes and provision (benefit) for income taxes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380" w:type="dxa"/>
            <w:vAlign w:val="bottom"/>
            <w:gridSpan w:val="5"/>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4"/>
        </w:trPr>
        <w:tc>
          <w:tcPr>
            <w:tcW w:w="7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1"/>
        </w:trPr>
        <w:tc>
          <w:tcPr>
            <w:tcW w:w="78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8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(86,804)</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80" w:type="dxa"/>
            <w:vAlign w:val="bottom"/>
          </w:tcPr>
          <w:p>
            <w:pPr>
              <w:spacing w:after="0"/>
              <w:rPr>
                <w:sz w:val="20"/>
                <w:szCs w:val="20"/>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Company's effective income tax rate is as follows:</w:t>
      </w:r>
    </w:p>
    <w:p>
      <w:pPr>
        <w:spacing w:after="0" w:line="25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33655</wp:posOffset>
            </wp:positionV>
            <wp:extent cx="22371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35"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Restated)</w:t>
      </w:r>
    </w:p>
    <w:p>
      <w:pPr>
        <w:spacing w:after="0" w:line="42" w:lineRule="exact"/>
        <w:rPr>
          <w:sz w:val="20"/>
          <w:szCs w:val="20"/>
          <w:color w:val="auto"/>
        </w:rPr>
      </w:pPr>
    </w:p>
    <w:p>
      <w:pPr>
        <w:ind w:left="8420"/>
        <w:spacing w:after="0"/>
        <w:tabs>
          <w:tab w:leader="none" w:pos="1022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provision at statutory rate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Tax credits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state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deferred tax assets (liabilities) are comprised of the following (in thousands):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70"/>
        </w:trPr>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70"/>
        </w:trPr>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70"/>
        </w:trPr>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0"/>
        </w:trPr>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
        </w:trPr>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33655</wp:posOffset>
            </wp:positionV>
            <wp:extent cx="21513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3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(As Restated)</w:t>
      </w:r>
    </w:p>
    <w:p>
      <w:pPr>
        <w:spacing w:after="0" w:line="42" w:lineRule="exact"/>
        <w:rPr>
          <w:sz w:val="20"/>
          <w:szCs w:val="20"/>
          <w:color w:val="auto"/>
        </w:rPr>
      </w:pPr>
    </w:p>
    <w:p>
      <w:pPr>
        <w:ind w:left="820"/>
        <w:spacing w:after="0"/>
        <w:tabs>
          <w:tab w:leader="none" w:pos="25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33" w:lineRule="exact"/>
        <w:rPr>
          <w:sz w:val="20"/>
          <w:szCs w:val="20"/>
          <w:color w:val="auto"/>
        </w:rPr>
      </w:pPr>
    </w:p>
    <w:p>
      <w:pPr>
        <w:sectPr>
          <w:pgSz w:w="11900" w:h="16838" w:orient="portrait"/>
          <w:cols w:equalWidth="0" w:num="2">
            <w:col w:w="7000" w:space="720"/>
            <w:col w:w="352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5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58,324</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48,812</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w:t>
            </w: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Start-up costs</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w:t>
            </w: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Accruals and reserves</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Intellectual property</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Capitalization of research and development expense</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w:t>
            </w: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96,699</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(95,724)</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70"/>
        </w:trPr>
        <w:tc>
          <w:tcPr>
            <w:tcW w:w="78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right-of-use assets</w:t>
            </w: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7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valuation allowance increased during 2023 by approximately $16.7 million primarily due to Section 174 expenditure capitalization. The Company has evaluated both positive and negative evidence when assessing the realizability of</w:t>
      </w:r>
    </w:p>
    <w:p>
      <w:pPr>
        <w:sectPr>
          <w:pgSz w:w="11900" w:h="16838" w:orient="portrait"/>
          <w:cols w:equalWidth="0" w:num="1">
            <w:col w:w="11240"/>
          </w:cols>
          <w:pgMar w:left="320" w:top="337"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its deferred tax assets. Management has considered the Company's history of cumulative net losses, estimated future taxable income as well as tax planning strategies and has concluded that it is more likely than not that the Company will not realize the benefits of its deferred tax assets. Accordingly, a full valuation allowance has been established against these net deferred tax assets as of December 31, 2023 and 2022, respectively.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and 2022, the Company had U.S. federal net operating loss ("NOL") carryforwards of $226.2 million and $188.3 million, respectively, which may be available to offset future income tax liabilities. The 2017 Tax Cut and Jobs Act generally allows federal losses generated after 2017 to be carried over indefinitely, but also limits the NOL deduction to the lesser of the NOL carryover or 80% of a corporation's taxable income (subject to Section 382 of the Internal Revenue Code of 1986, as amended ("IRC")). Additionally, there is no carryback for losses generated after 2017. Losses generated prior to 2018 are deductible using the lesser of a corporation's NOL carryover or 100% of a corporation's taxable income and have a 20 year carryforward period. The Company has federal NOLs generated after 2017 of $173.5 million, which do not expire. The federal NOLs generated prior to 2018 of $52.7 million will expire at various dates through 2037. In addition, the Company has a capital loss carryforward of $26.7 million, which may be available to offset future capital gains and expires in 2024.</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Company had U.S. state NOL carryforwards of $224.5 million and $186.6 million, respectively, which may be available to offset future income tax liabilities and expire at various dates through 2043. As of December 31, 2023 and 2022, the Company had federal tax credit carryforwards of approximately $9.2 million and $6.5 million, respectively, which are available to offset future federal tax liabilities which expire at various dates through 2043. As of December 31, 2023 and 2022, the Company had state tax credit carryforwards of approximately $0.1 million and $0.2 million, respectively, which are available to reduce future tax liabilities and expire at various dates through 2034.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NOL and tax credit carryforwards are subject to review and possible adjustment by the Internal Revenue Service and relevant state tax authorities. Utilization of NOL and tax credit carryforwards may be subject to a substantial annual limitation under Section 382 and Section 383 of the IRC and corresponding provisions of state law, due to ownership changes that have occurred previously or that could occur in the future. These ownership changes may limit the amount of NOL and tax credit carryforwards that can be utilized annually to offset future federal and state tax liabilities.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not yet conducted a comprehensive study to assess whether any ownership change has occurred since its inception. A limitation may result in the expiration of a portion of the NOL or tax credit carryforwards before utilization, which would be offset by a change in the Company's valuation allowance. Until a study is completed by the Company, no NOL carryforward amounts will be offset by an unrecognized tax benefit related to Section 382.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full valuation allowance has also been recorded against the Company's tax credits. If an adjustment is required, it would be offset by a corresponding change in the valuation allowance.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000" w:type="dxa"/>
            <w:vAlign w:val="bottom"/>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84"/>
        </w:trPr>
        <w:tc>
          <w:tcPr>
            <w:tcW w:w="7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380" w:type="dxa"/>
            <w:vAlign w:val="bottom"/>
          </w:tcPr>
          <w:p>
            <w:pPr>
              <w:spacing w:after="0"/>
              <w:rPr>
                <w:sz w:val="15"/>
                <w:szCs w:val="15"/>
                <w:color w:val="auto"/>
              </w:rPr>
            </w:pPr>
          </w:p>
        </w:tc>
      </w:tr>
      <w:tr>
        <w:trPr>
          <w:trHeight w:val="191"/>
        </w:trPr>
        <w:tc>
          <w:tcPr>
            <w:tcW w:w="786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beginning of year</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in a prior year</w:t>
            </w:r>
          </w:p>
        </w:tc>
        <w:tc>
          <w:tcPr>
            <w:tcW w:w="11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in the current year</w:t>
            </w:r>
          </w:p>
        </w:tc>
        <w:tc>
          <w:tcPr>
            <w:tcW w:w="1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taken in the prior year due to settlement</w:t>
            </w:r>
          </w:p>
        </w:tc>
        <w:tc>
          <w:tcPr>
            <w:tcW w:w="11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taken in the prior year due to statutes lapsing</w:t>
            </w:r>
          </w:p>
        </w:tc>
        <w:tc>
          <w:tcPr>
            <w:tcW w:w="1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end of year</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0"/>
        </w:trPr>
        <w:tc>
          <w:tcPr>
            <w:tcW w:w="7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uncertain tax positions giving rise to the unrecognized tax benefits of $0.3 million at December 31, 2023 and 2022 relate to the timing of certain income and deductions for federal income tax purposes taken by Histogenics prior to the Company's reverse merger with Histogenics. The reversal of unrecognized tax benefits would not have any impact on the effective tax rate in the future and is not expected to create cash liability.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a normal course of business, the Company is subject to examination by federal and state jurisdictions, where applicable. The Company's tax years are still open from 2019 to present.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Net Loss per Share of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years ended December 31, 2023 and 2022 (in thousands, except share and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4"/>
        </w:trPr>
        <w:tc>
          <w:tcPr>
            <w:tcW w:w="7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1"/>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 basic and 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Shares used in calculating net loss per common share — basic and diluted</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80"/>
              <w:spacing w:after="0" w:line="203" w:lineRule="exact"/>
              <w:rPr>
                <w:sz w:val="20"/>
                <w:szCs w:val="20"/>
                <w:color w:val="auto"/>
              </w:rPr>
            </w:pPr>
            <w:r>
              <w:rPr>
                <w:rFonts w:ascii="Times New Roman" w:cs="Times New Roman" w:eastAsia="Times New Roman" w:hAnsi="Times New Roman"/>
                <w:sz w:val="18"/>
                <w:szCs w:val="18"/>
                <w:color w:val="auto"/>
              </w:rPr>
              <w:t>244,327,057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color w:val="auto"/>
              </w:rPr>
              <w:t>214,600,051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outstanding, as their inclusion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380" w:type="dxa"/>
            <w:vAlign w:val="bottom"/>
            <w:gridSpan w:val="3"/>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13,161,228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10,851,287</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2,982,661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924,810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628,834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798,352</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(as converted to common stock)</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Convertible Preferred Stock (as converted to common stock)</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547,450</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547,450</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17,320,173</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13,121,899</w:t>
            </w:r>
          </w:p>
        </w:tc>
      </w:tr>
      <w:tr>
        <w:trPr>
          <w:trHeight w:val="20"/>
        </w:trPr>
        <w:tc>
          <w:tcPr>
            <w:tcW w:w="78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commitments under certain license and development agreements, lease agreements, commitments related to renovating an existing facility for GMP, and debt agreements. Commitments under certain license and development agreements include annual payments, payments upon the achievement of certain milestones, and royalty payments based on net sales of licensed products (see Note 3). Commitments under lease agreements are future minimum lease payments (see Note 7). Renovation commitments are related to retrofitting an existing facility in order to be GMP compliant (see Note 1). Commitments under debt agreements are the future payment of principal and accrued interest under the EB-5 Loan Agreement (see Note 9). In connection with the Company's decision to terminate the COVAXIN program, the Canada Consulting Agreement was terminated by mutual agreement in June 2023 (see Note 11). Additionally, the Company does not expect to fulfill any commitments under the amended Co-Development, Supply and Commercialization Agreement (the "Covaxin Agreement") with Bharat Biotech as a result of the termination of the COVAXIN program.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2021, a securities class action lawsuit was filed against the Company and certain of its agents in the U.S. District Court for the Eastern District of Pennsylvania ("Court") (Case No. 2:21-cv-02725) that purported to state a claim for alleged violations of Sections 10(b) and 20(a) of the Securities Exchange Act of 1934 (the "Exchange Act") and Rule 10b-5 promulgated thereunder, based on statements made by the Company concerning the announcement of the Company's decision to pursue the submission of a BLA for COVAXIN for adults ages 18 years and older rather than pursuing an EUA. In July 2021, a second securities class action lawsuit was filed against the Company and certain of its agents in the Court (Case No. 2:21-cv-03182) that also purported to state a claim for alleged violations of Sections 10(b) and 20(a) of the Exchange Act and Rule 10b-5 promulgated thereunder, based on the same statements as the first complaint. The complaints seek unspecified damages, interest, attorneys' fees, and other costs. In March 2022, the Court consolidated these two related securities class action lawsuits and appointed Andre Galan Bernd Benayon to serve as lead plaintiff. The lead plaintiff's amended complaint was filed in June 2022. In March 2023, the Court granted the Company's motion to dismiss with prejudice. The lead plaintiff appealed to the United States Court of Appeals for the Third Circuit ("Third Circuit") regarding the order that was entered in March 2023, which dismissed the action with prejudice. The lead plaintiff's appellant's brief and joint appendix were filed in July 2023. The Company's appellees' brief was filed in August 2023, and the lead plaintiff's reply brief was filed in September 2023. In March 2024, the Third Circuit affirmed the Court's decision to dismiss with prejudice the consolidated securities class action lawsuits.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2021, a stockholder derivative lawsuit was filed derivatively on behalf of the Company against certain of its agents and the nominal defendant Ocugen in the Court (Case No. 2:21-cv-03876) that purported to state a claim for breach of fiduciary duty and contribution for violations of Sections 10(b) and 21(d) of the Exchange Act, based on facts and circumstances relating to the securities class action lawsuits and seeking contribution and indemnification in connection with claims asserted in the securities class action lawsuits. In September 2021, a second stockholder derivative lawsuit was filed derivatively on behalf of the Company against certain of its agents and the nominal defendant Ocugen in the Court (Case No. 2:21-cv-04169) that purported to state a claim for breach of fiduciary duties, unjust enrichment, abuse of control, waste of corporate assets, and contribution for violations of Sections 10(b) and 21(d) of the Exchange Act, based on the same allegations as the first complaint. The parties to both stockholder derivative lawsuits stipulated to the consolidation of the two stockholder derivative lawsuits and submitted to the Court in each action a proposed order requesting a stay of the litigation pending a decision on any motion to dismiss filed in the securities class action lawsuits, which the Court entered in April 2022. In March 2023, the Court in the securities class action lawsuits granted the Company's motion to dismiss with prejudice. The parties to the stockholder derivative lawsuits stipulated to extend the stay of litigation pending resolution of any appeal filed in the securities class action lawsuits, which the Court entered in March 2023.</w:t>
      </w:r>
    </w:p>
    <w:p>
      <w:pPr>
        <w:spacing w:after="0" w:line="17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April 2024, a securities class action lawsuit was filed against the Company and certain of its agents in the Court (Case No. 2:24-cv-01500) that purported to state a claim for alleged violations of Sections 10(b) and 20(a) of the Exchange Act and Rule 10b-5 promulgated thereunder, based on statements made by the Company concerning the Company’s previously-issued audited consolidated financial statements for each fiscal year beginning January 1, 2020 and its previously-issued unaudited interim condensed consolidated financial statements for each of the first three quarters in such years and the effectiveness of</w:t>
      </w:r>
    </w:p>
    <w:p>
      <w:pPr>
        <w:spacing w:after="0" w:line="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disclosure controls and procedures during each such period. The complaint seeks unspecified damages, interest, attorneys’ fees, and other costs.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the lawsuits are without merit and intends to vigorously defend against them. At this time, no assessment can be made as to their likely outcome or whether the outcome will be material to the Company. No information is available to indicate that it is probable that a loss has been incurred and can be reasonably estimated as of the date of the condensed consolidated financial statements and, as such, no accrual for the loss has been recorded within the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Restatement of Previously Issued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the Company's Consolidated Financial Statements as of and for the fiscal year ended December 31, 2023, the Company discovered that in the current fiscal year and prior years it had not appropriately accounted for its collaboration arrangements, including the determination of the transaction price, calculating the progress towards the satisfaction of the performance obligations under the collaborative arrangements, and determining the value of the non-cash consideration received and recognized as research and development expense. The Company also corrected the presentation of the revenue previously recognized within Other income (expense), net to Collaborative arrangement revenue in its Consolidated Statements of Operations and Comprehensive Loss.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misstatements were material to the Company's previously issued financial statements and as a result, the Company has restated its Consolidated Balance Sheets, Consolidated Statements of Operations and Comprehensive Loss, Consolidated Statements of Stockholders' Equity, and Consolidated Statements of Cash Flows as of and for the fiscal year ended December 31, 2022. The restatement includes adjustments to Collaborative arrangement revenue, Research and development expenses, Other income (expense), net and Accrued expenses and other current liabilities during the impacted periods. The Company has also corrected certain other identified immaterial errors that were identified during the impacted periods impacting Research and development expenses, General and administrative expenses, and Accrued expenses and other current liabilities.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The impact of the correction of the misstatements is summarized below (in thousands):</w:t>
            </w: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73"/>
        </w:trPr>
        <w:tc>
          <w:tcPr>
            <w:tcW w:w="68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23"/>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Corrected Consolidated Balance Sheets</w:t>
            </w:r>
          </w:p>
        </w:tc>
        <w:tc>
          <w:tcPr>
            <w:tcW w:w="2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As previously reported Adjustment</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 Restated</w:t>
            </w: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10,071</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19,971</w:t>
            </w:r>
          </w:p>
        </w:tc>
      </w:tr>
      <w:tr>
        <w:trPr>
          <w:trHeight w:val="223"/>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18,460</w:t>
            </w: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10,071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28,531</w:t>
            </w: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24,580</w:t>
            </w:r>
          </w:p>
        </w:tc>
        <w:tc>
          <w:tcPr>
            <w:tcW w:w="9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10,071</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34,651</w:t>
            </w:r>
          </w:p>
        </w:tc>
      </w:tr>
      <w:tr>
        <w:trPr>
          <w:trHeight w:val="223"/>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(213,018)</w:t>
            </w: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(10,071)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(223,089)</w:t>
            </w: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84,052</w:t>
            </w:r>
          </w:p>
        </w:tc>
        <w:tc>
          <w:tcPr>
            <w:tcW w:w="9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(10,071)</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73,981</w:t>
            </w: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tc>
      </w:tr>
      <w:tr>
        <w:trPr>
          <w:trHeight w:val="22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Corrected Consolidated Statements of Operations and Comprehensive Loss</w:t>
            </w:r>
          </w:p>
        </w:tc>
        <w:tc>
          <w:tcPr>
            <w:tcW w:w="2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 previously reported Adjustment</w:t>
            </w: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 Restated</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Collaborative arrangement revenue</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9"/>
                <w:szCs w:val="19"/>
                <w:color w:val="auto"/>
              </w:rPr>
            </w:pPr>
          </w:p>
        </w:tc>
        <w:tc>
          <w:tcPr>
            <w:tcW w:w="24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24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49,757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56,159</w:t>
            </w:r>
          </w:p>
        </w:tc>
      </w:tr>
      <w:tr>
        <w:trPr>
          <w:trHeight w:val="229"/>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35,111</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35,400</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84,868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91,559</w:t>
            </w:r>
          </w:p>
        </w:tc>
      </w:tr>
      <w:tr>
        <w:trPr>
          <w:trHeight w:val="22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(84,868)</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(89,071)</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3,517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r>
      <w:tr>
        <w:trPr>
          <w:trHeight w:val="22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(81,351)</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(86,804)</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(81,325)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(86,778)</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(0.38)</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844"/>
        </w:trPr>
        <w:tc>
          <w:tcPr>
            <w:tcW w:w="696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F-29</w:t>
            </w:r>
          </w:p>
        </w:tc>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6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Fiscal Year Ended December</w:t>
            </w: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31, 2022</w:t>
            </w:r>
          </w:p>
        </w:tc>
      </w:tr>
      <w:tr>
        <w:trPr>
          <w:trHeight w:val="223"/>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Corrected Consolidated Statements of Cash Flows</w:t>
            </w:r>
          </w:p>
        </w:tc>
        <w:tc>
          <w:tcPr>
            <w:tcW w:w="26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As previously reported Adjustment</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9"/>
              </w:rPr>
              <w:t>As Restated</w:t>
            </w: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(81,351)</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(86,804)</w:t>
            </w:r>
          </w:p>
        </w:tc>
      </w:tr>
      <w:tr>
        <w:trPr>
          <w:trHeight w:val="22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(income) expense from collaborative arrangements, net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w:t>
            </w:r>
          </w:p>
        </w:tc>
      </w:tr>
      <w:tr>
        <w:trPr>
          <w:trHeight w:val="23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2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(60,079)</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(60,079)</w:t>
            </w: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Corrected Consolidated Statements of</w:t>
            </w:r>
          </w:p>
        </w:tc>
        <w:tc>
          <w:tcPr>
            <w:tcW w:w="5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Total Stockholder Equity</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4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 previously reported Adjustment</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 Restated</w:t>
            </w:r>
          </w:p>
        </w:tc>
        <w:tc>
          <w:tcPr>
            <w:tcW w:w="2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 previously reported Adjustment</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Restated</w:t>
            </w:r>
          </w:p>
        </w:tc>
        <w:tc>
          <w:tcPr>
            <w:tcW w:w="0" w:type="dxa"/>
            <w:vAlign w:val="bottom"/>
          </w:tcPr>
          <w:p>
            <w:pPr>
              <w:spacing w:after="0"/>
              <w:rPr>
                <w:sz w:val="1"/>
                <w:szCs w:val="1"/>
                <w:color w:val="auto"/>
              </w:rPr>
            </w:pPr>
          </w:p>
        </w:tc>
      </w:tr>
      <w:tr>
        <w:trPr>
          <w:trHeight w:val="223"/>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(131,667)</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(136,285)</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95,818</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91,200</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for stock option</w:t>
            </w:r>
          </w:p>
        </w:tc>
        <w:tc>
          <w:tcPr>
            <w:tcW w:w="5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exercises and restricted stock unit vesting, net</w:t>
            </w: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for capital raises,</w:t>
            </w: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5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57,756</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57,756</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conversion</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(81,351)</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(81,351)</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(86,804)</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(213,018)</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(223,089)</w:t>
            </w:r>
          </w:p>
        </w:tc>
        <w:tc>
          <w:tcPr>
            <w:tcW w:w="8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84,052</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referenced amounts for prior periods in these financial statements and the notes herein reflect the balances and amounts on a restated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Interim Financial Information (Unaudited)</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has restated its unaudited Condensed Consolidated Balance Sheets, Condensed Consolidated Statements of Operations and Comprehensive Loss, Condensed Consolidated Statements of Stockholders' Equity, and Condensed Consolidated Statements of Cash Flows for the quarterly and year to date periods ended March 31, 2022, June 30, 2022, September 30, 2022, March 31, 2023, June 30, 2023, and September 30, 2023. The restated impact of the correction of the misstatements is summarized below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07"/>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As of March 31, 2023</w:t>
            </w: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As of March 31, 2022</w:t>
            </w: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7"/>
        </w:trPr>
        <w:tc>
          <w:tcPr>
            <w:tcW w:w="4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Corrected Condensed Consolidated Balance Sheets</w:t>
            </w:r>
          </w:p>
        </w:tc>
        <w:tc>
          <w:tcPr>
            <w:tcW w:w="7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vMerge w:val="continue"/>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vMerge w:val="continue"/>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520" w:type="dxa"/>
            <w:vAlign w:val="bottom"/>
            <w:gridSpan w:val="2"/>
            <w:vMerge w:val="continue"/>
          </w:tcPr>
          <w:p>
            <w:pPr>
              <w:spacing w:after="0"/>
              <w:rPr>
                <w:sz w:val="14"/>
                <w:szCs w:val="14"/>
                <w:color w:val="auto"/>
              </w:rPr>
            </w:pPr>
          </w:p>
        </w:tc>
        <w:tc>
          <w:tcPr>
            <w:tcW w:w="15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3360" w:type="dxa"/>
            <w:vAlign w:val="bottom"/>
            <w:gridSpan w:val="4"/>
          </w:tcPr>
          <w:p>
            <w:pPr>
              <w:jc w:val="right"/>
              <w:ind w:right="430"/>
              <w:spacing w:after="0" w:line="169" w:lineRule="exact"/>
              <w:rPr>
                <w:sz w:val="20"/>
                <w:szCs w:val="20"/>
                <w:color w:val="auto"/>
              </w:rPr>
            </w:pPr>
            <w:r>
              <w:rPr>
                <w:rFonts w:ascii="Times New Roman" w:cs="Times New Roman" w:eastAsia="Times New Roman" w:hAnsi="Times New Roman"/>
                <w:sz w:val="18"/>
                <w:szCs w:val="18"/>
                <w:color w:val="auto"/>
              </w:rPr>
              <w:t>Adjustment As Restated As previously</w:t>
            </w:r>
          </w:p>
        </w:tc>
        <w:tc>
          <w:tcPr>
            <w:tcW w:w="18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Adjustment As Restated</w:t>
            </w:r>
          </w:p>
        </w:tc>
        <w:tc>
          <w:tcPr>
            <w:tcW w:w="0" w:type="dxa"/>
            <w:vAlign w:val="bottom"/>
          </w:tcPr>
          <w:p>
            <w:pPr>
              <w:spacing w:after="0"/>
              <w:rPr>
                <w:sz w:val="1"/>
                <w:szCs w:val="1"/>
                <w:color w:val="auto"/>
              </w:rPr>
            </w:pPr>
          </w:p>
        </w:tc>
      </w:tr>
      <w:tr>
        <w:trPr>
          <w:trHeight w:val="241"/>
        </w:trPr>
        <w:tc>
          <w:tcPr>
            <w:tcW w:w="4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reported</w:t>
            </w:r>
          </w:p>
        </w:tc>
        <w:tc>
          <w:tcPr>
            <w:tcW w:w="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reported</w:t>
            </w:r>
          </w:p>
        </w:tc>
        <w:tc>
          <w:tcPr>
            <w:tcW w:w="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68,259</w:t>
            </w:r>
          </w:p>
        </w:tc>
        <w:tc>
          <w:tcPr>
            <w:tcW w:w="10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68,259</w:t>
            </w:r>
          </w:p>
        </w:tc>
        <w:tc>
          <w:tcPr>
            <w:tcW w:w="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129,771</w:t>
            </w:r>
          </w:p>
        </w:tc>
        <w:tc>
          <w:tcPr>
            <w:tcW w:w="10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129,771</w:t>
            </w:r>
          </w:p>
        </w:tc>
        <w:tc>
          <w:tcPr>
            <w:tcW w:w="0" w:type="dxa"/>
            <w:vAlign w:val="bottom"/>
          </w:tcPr>
          <w:p>
            <w:pPr>
              <w:spacing w:after="0"/>
              <w:rPr>
                <w:sz w:val="1"/>
                <w:szCs w:val="1"/>
                <w:color w:val="auto"/>
              </w:rPr>
            </w:pPr>
          </w:p>
        </w:tc>
      </w:tr>
      <w:tr>
        <w:trPr>
          <w:trHeight w:val="243"/>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0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7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10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0" w:type="dxa"/>
            <w:vAlign w:val="bottom"/>
          </w:tcPr>
          <w:p>
            <w:pPr>
              <w:spacing w:after="0"/>
              <w:rPr>
                <w:sz w:val="1"/>
                <w:szCs w:val="1"/>
                <w:color w:val="auto"/>
              </w:rPr>
            </w:pPr>
          </w:p>
        </w:tc>
      </w:tr>
      <w:tr>
        <w:trPr>
          <w:trHeight w:val="228"/>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7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84,401</w:t>
            </w:r>
          </w:p>
        </w:tc>
        <w:tc>
          <w:tcPr>
            <w:tcW w:w="104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84,401</w:t>
            </w:r>
          </w:p>
        </w:tc>
        <w:tc>
          <w:tcPr>
            <w:tcW w:w="7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138,027</w:t>
            </w:r>
          </w:p>
        </w:tc>
        <w:tc>
          <w:tcPr>
            <w:tcW w:w="104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138,027</w:t>
            </w:r>
          </w:p>
        </w:tc>
        <w:tc>
          <w:tcPr>
            <w:tcW w:w="0" w:type="dxa"/>
            <w:vAlign w:val="bottom"/>
          </w:tcPr>
          <w:p>
            <w:pPr>
              <w:spacing w:after="0"/>
              <w:rPr>
                <w:sz w:val="1"/>
                <w:szCs w:val="1"/>
                <w:color w:val="auto"/>
              </w:rPr>
            </w:pPr>
          </w:p>
        </w:tc>
      </w:tr>
      <w:tr>
        <w:trPr>
          <w:trHeight w:val="22"/>
        </w:trPr>
        <w:tc>
          <w:tcPr>
            <w:tcW w:w="4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0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43"/>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45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7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7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96,299</w:t>
            </w:r>
          </w:p>
        </w:tc>
        <w:tc>
          <w:tcPr>
            <w:tcW w:w="10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96,299</w:t>
            </w:r>
          </w:p>
        </w:tc>
        <w:tc>
          <w:tcPr>
            <w:tcW w:w="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141,727</w:t>
            </w:r>
          </w:p>
        </w:tc>
        <w:tc>
          <w:tcPr>
            <w:tcW w:w="10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141,727</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0" w:type="dxa"/>
            <w:vAlign w:val="bottom"/>
          </w:tcPr>
          <w:p>
            <w:pPr>
              <w:spacing w:after="0"/>
              <w:rPr>
                <w:sz w:val="1"/>
                <w:szCs w:val="1"/>
                <w:color w:val="auto"/>
              </w:rPr>
            </w:pPr>
          </w:p>
        </w:tc>
      </w:tr>
      <w:tr>
        <w:trPr>
          <w:trHeight w:val="229"/>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10,899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5,614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10,899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26,582</w:t>
            </w: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10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5,614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0" w:type="dxa"/>
            <w:vAlign w:val="bottom"/>
          </w:tcPr>
          <w:p>
            <w:pPr>
              <w:spacing w:after="0"/>
              <w:rPr>
                <w:sz w:val="1"/>
                <w:szCs w:val="1"/>
                <w:color w:val="auto"/>
              </w:rPr>
            </w:pPr>
          </w:p>
        </w:tc>
      </w:tr>
      <w:tr>
        <w:trPr>
          <w:trHeight w:val="230"/>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 less current portion</w:t>
            </w: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30"/>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 term debt, net</w:t>
            </w: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7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0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0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7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20,499</w:t>
            </w:r>
          </w:p>
        </w:tc>
        <w:tc>
          <w:tcPr>
            <w:tcW w:w="104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10,899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31,398</w:t>
            </w:r>
          </w:p>
        </w:tc>
        <w:tc>
          <w:tcPr>
            <w:tcW w:w="7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104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5,614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16,212</w:t>
            </w:r>
          </w:p>
        </w:tc>
        <w:tc>
          <w:tcPr>
            <w:tcW w:w="0" w:type="dxa"/>
            <w:vAlign w:val="bottom"/>
          </w:tcPr>
          <w:p>
            <w:pPr>
              <w:spacing w:after="0"/>
              <w:rPr>
                <w:sz w:val="1"/>
                <w:szCs w:val="1"/>
                <w:color w:val="auto"/>
              </w:rPr>
            </w:pPr>
          </w:p>
        </w:tc>
      </w:tr>
      <w:tr>
        <w:trPr>
          <w:trHeight w:val="210"/>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Series A</w:t>
            </w: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Series B</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5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43"/>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Treasury stock</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45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303,073</w:t>
            </w:r>
          </w:p>
        </w:tc>
        <w:tc>
          <w:tcPr>
            <w:tcW w:w="10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303,073</w:t>
            </w: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278,704</w:t>
            </w:r>
          </w:p>
        </w:tc>
        <w:tc>
          <w:tcPr>
            <w:tcW w:w="10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278,704</w:t>
            </w:r>
          </w:p>
        </w:tc>
        <w:tc>
          <w:tcPr>
            <w:tcW w:w="0" w:type="dxa"/>
            <w:vAlign w:val="bottom"/>
          </w:tcPr>
          <w:p>
            <w:pPr>
              <w:spacing w:after="0"/>
              <w:rPr>
                <w:sz w:val="1"/>
                <w:szCs w:val="1"/>
                <w:color w:val="auto"/>
              </w:rPr>
            </w:pPr>
          </w:p>
        </w:tc>
      </w:tr>
      <w:tr>
        <w:trPr>
          <w:trHeight w:val="243"/>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(229,516)</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(10,899)</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(240,415)</w:t>
            </w:r>
          </w:p>
        </w:tc>
        <w:tc>
          <w:tcPr>
            <w:tcW w:w="7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(149,686)</w:t>
            </w:r>
          </w:p>
        </w:tc>
        <w:tc>
          <w:tcPr>
            <w:tcW w:w="104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(5,614)</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(155,300)</w:t>
            </w:r>
          </w:p>
        </w:tc>
        <w:tc>
          <w:tcPr>
            <w:tcW w:w="0" w:type="dxa"/>
            <w:vAlign w:val="bottom"/>
          </w:tcPr>
          <w:p>
            <w:pPr>
              <w:spacing w:after="0"/>
              <w:rPr>
                <w:sz w:val="1"/>
                <w:szCs w:val="1"/>
                <w:color w:val="auto"/>
              </w:rPr>
            </w:pPr>
          </w:p>
        </w:tc>
      </w:tr>
      <w:tr>
        <w:trPr>
          <w:trHeight w:val="228"/>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75,800</w:t>
            </w: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(10,899)</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64,901</w:t>
            </w:r>
          </w:p>
        </w:tc>
        <w:tc>
          <w:tcPr>
            <w:tcW w:w="7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131,129</w:t>
            </w:r>
          </w:p>
        </w:tc>
        <w:tc>
          <w:tcPr>
            <w:tcW w:w="1040" w:type="dxa"/>
            <w:vAlign w:val="bottom"/>
            <w:tcBorders>
              <w:top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(5,614)</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125,515</w:t>
            </w:r>
          </w:p>
        </w:tc>
        <w:tc>
          <w:tcPr>
            <w:tcW w:w="0" w:type="dxa"/>
            <w:vAlign w:val="bottom"/>
          </w:tcPr>
          <w:p>
            <w:pPr>
              <w:spacing w:after="0"/>
              <w:rPr>
                <w:sz w:val="1"/>
                <w:szCs w:val="1"/>
                <w:color w:val="auto"/>
              </w:rPr>
            </w:pPr>
          </w:p>
        </w:tc>
      </w:tr>
      <w:tr>
        <w:trPr>
          <w:trHeight w:val="22"/>
        </w:trPr>
        <w:tc>
          <w:tcPr>
            <w:tcW w:w="4520" w:type="dxa"/>
            <w:vAlign w:val="bottom"/>
            <w:tcBorders>
              <w:bottom w:val="single" w:sz="8" w:color="CCEEFF"/>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96,299</w:t>
            </w:r>
          </w:p>
        </w:tc>
        <w:tc>
          <w:tcPr>
            <w:tcW w:w="10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96,299</w:t>
            </w:r>
          </w:p>
        </w:tc>
        <w:tc>
          <w:tcPr>
            <w:tcW w:w="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141,727</w:t>
            </w:r>
          </w:p>
        </w:tc>
        <w:tc>
          <w:tcPr>
            <w:tcW w:w="10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141,727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12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F-31</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As of June 30, 2023</w:t>
            </w:r>
          </w:p>
        </w:tc>
        <w:tc>
          <w:tcPr>
            <w:tcW w:w="2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62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169"/>
        </w:trPr>
        <w:tc>
          <w:tcPr>
            <w:tcW w:w="32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Corrected Condensed Consolidated</w:t>
            </w:r>
          </w:p>
        </w:tc>
        <w:tc>
          <w:tcPr>
            <w:tcW w:w="11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1740" w:type="dxa"/>
            <w:vAlign w:val="bottom"/>
          </w:tcPr>
          <w:p>
            <w:pPr>
              <w:spacing w:after="0"/>
              <w:rPr>
                <w:sz w:val="14"/>
                <w:szCs w:val="14"/>
                <w:color w:val="auto"/>
              </w:rPr>
            </w:pPr>
          </w:p>
        </w:tc>
        <w:tc>
          <w:tcPr>
            <w:tcW w:w="2260" w:type="dxa"/>
            <w:vAlign w:val="bottom"/>
          </w:tcPr>
          <w:p>
            <w:pPr>
              <w:ind w:left="114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43"/>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Sheets (Unaudited)</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w:t>
            </w:r>
          </w:p>
        </w:tc>
        <w:tc>
          <w:tcPr>
            <w:tcW w:w="1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w:t>
            </w:r>
          </w:p>
        </w:tc>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Restated  reported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Adjustment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Restated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63" w:lineRule="exact"/>
        <w:rPr>
          <w:sz w:val="20"/>
          <w:szCs w:val="20"/>
          <w:color w:val="auto"/>
        </w:rPr>
      </w:pPr>
    </w:p>
    <w:p>
      <w:pPr>
        <w:ind w:left="140"/>
        <w:spacing w:after="0"/>
        <w:tabs>
          <w:tab w:leader="none" w:pos="3280" w:val="left"/>
        </w:tabs>
        <w:rPr>
          <w:sz w:val="20"/>
          <w:szCs w:val="20"/>
          <w:color w:val="auto"/>
        </w:rPr>
      </w:pPr>
      <w:r>
        <w:rPr>
          <w:rFonts w:ascii="Times New Roman" w:cs="Times New Roman" w:eastAsia="Times New Roman" w:hAnsi="Times New Roman"/>
          <w:sz w:val="18"/>
          <w:szCs w:val="18"/>
          <w:color w:val="auto"/>
        </w:rPr>
        <w:t>Cash and cash equivalents</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Marketable securities</w:t>
      </w:r>
    </w:p>
    <w:p>
      <w:pPr>
        <w:spacing w:after="0" w:line="63" w:lineRule="exact"/>
        <w:rPr>
          <w:sz w:val="20"/>
          <w:szCs w:val="20"/>
          <w:color w:val="auto"/>
        </w:rPr>
      </w:pPr>
    </w:p>
    <w:p>
      <w:pPr>
        <w:ind w:left="140" w:right="280"/>
        <w:spacing w:after="0" w:line="313" w:lineRule="auto"/>
        <w:rPr>
          <w:sz w:val="20"/>
          <w:szCs w:val="20"/>
          <w:color w:val="auto"/>
        </w:rPr>
      </w:pPr>
      <w:r>
        <w:rPr>
          <w:rFonts w:ascii="Times New Roman" w:cs="Times New Roman" w:eastAsia="Times New Roman" w:hAnsi="Times New Roman"/>
          <w:sz w:val="18"/>
          <w:szCs w:val="18"/>
          <w:color w:val="auto"/>
        </w:rPr>
        <w:t>Prepaid expenses and other current assets Total current assets</w:t>
      </w:r>
    </w:p>
    <w:p>
      <w:pPr>
        <w:ind w:left="140" w:right="1220"/>
        <w:spacing w:after="0" w:line="310" w:lineRule="auto"/>
        <w:rPr>
          <w:sz w:val="20"/>
          <w:szCs w:val="20"/>
          <w:color w:val="auto"/>
        </w:rPr>
      </w:pPr>
      <w:r>
        <w:rPr>
          <w:rFonts w:ascii="Times New Roman" w:cs="Times New Roman" w:eastAsia="Times New Roman" w:hAnsi="Times New Roman"/>
          <w:sz w:val="18"/>
          <w:szCs w:val="18"/>
          <w:color w:val="auto"/>
        </w:rPr>
        <w:t>Property and equipment, net Other assets</w:t>
      </w:r>
    </w:p>
    <w:p>
      <w:pPr>
        <w:spacing w:after="0" w:line="1" w:lineRule="exact"/>
        <w:rPr>
          <w:sz w:val="20"/>
          <w:szCs w:val="20"/>
          <w:color w:val="auto"/>
        </w:rPr>
      </w:pPr>
    </w:p>
    <w:p>
      <w:pPr>
        <w:ind w:left="20"/>
        <w:spacing w:after="0"/>
        <w:tabs>
          <w:tab w:leader="none" w:pos="3280" w:val="left"/>
        </w:tabs>
        <w:rPr>
          <w:sz w:val="20"/>
          <w:szCs w:val="20"/>
          <w:color w:val="auto"/>
        </w:rPr>
      </w:pPr>
      <w:r>
        <w:rPr>
          <w:rFonts w:ascii="Times New Roman" w:cs="Times New Roman" w:eastAsia="Times New Roman" w:hAnsi="Times New Roman"/>
          <w:sz w:val="18"/>
          <w:szCs w:val="18"/>
          <w:b w:val="1"/>
          <w:bCs w:val="1"/>
          <w:color w:val="auto"/>
        </w:rPr>
        <w:t>Total assets</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20" w:right="6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Liabilities and stockholders' equity </w:t>
      </w:r>
      <w:r>
        <w:rPr>
          <w:rFonts w:ascii="Times New Roman" w:cs="Times New Roman" w:eastAsia="Times New Roman" w:hAnsi="Times New Roman"/>
          <w:sz w:val="18"/>
          <w:szCs w:val="18"/>
          <w:color w:val="auto"/>
        </w:rPr>
        <w:t>Current liabilities</w:t>
      </w:r>
    </w:p>
    <w:p>
      <w:pPr>
        <w:spacing w:after="0" w:line="2" w:lineRule="exact"/>
        <w:rPr>
          <w:sz w:val="20"/>
          <w:szCs w:val="20"/>
          <w:color w:val="auto"/>
        </w:rPr>
      </w:pPr>
    </w:p>
    <w:p>
      <w:pPr>
        <w:ind w:left="140"/>
        <w:spacing w:after="0"/>
        <w:tabs>
          <w:tab w:leader="none" w:pos="3280" w:val="left"/>
        </w:tabs>
        <w:rPr>
          <w:sz w:val="20"/>
          <w:szCs w:val="20"/>
          <w:color w:val="auto"/>
        </w:rPr>
      </w:pPr>
      <w:r>
        <w:rPr>
          <w:rFonts w:ascii="Times New Roman" w:cs="Times New Roman" w:eastAsia="Times New Roman" w:hAnsi="Times New Roman"/>
          <w:sz w:val="18"/>
          <w:szCs w:val="18"/>
          <w:color w:val="auto"/>
        </w:rPr>
        <w:t>Accounts payable</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40" w:right="680"/>
        <w:spacing w:after="0" w:line="234" w:lineRule="auto"/>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obligations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portion of long term debt</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liabilities</w:t>
      </w:r>
    </w:p>
    <w:p>
      <w:pPr>
        <w:spacing w:after="0" w:line="27" w:lineRule="exact"/>
        <w:rPr>
          <w:sz w:val="20"/>
          <w:szCs w:val="20"/>
          <w:color w:val="auto"/>
        </w:rPr>
      </w:pPr>
    </w:p>
    <w:p>
      <w:pPr>
        <w:ind w:left="140" w:right="380"/>
        <w:spacing w:after="0" w:line="234" w:lineRule="auto"/>
        <w:rPr>
          <w:sz w:val="20"/>
          <w:szCs w:val="20"/>
          <w:color w:val="auto"/>
        </w:rPr>
      </w:pPr>
      <w:r>
        <w:rPr>
          <w:rFonts w:ascii="Times New Roman" w:cs="Times New Roman" w:eastAsia="Times New Roman" w:hAnsi="Times New Roman"/>
          <w:sz w:val="18"/>
          <w:szCs w:val="18"/>
          <w:color w:val="auto"/>
        </w:rPr>
        <w:t>Operating lease obligations, less current portion</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Long term debt, net</w:t>
      </w:r>
    </w:p>
    <w:p>
      <w:pPr>
        <w:spacing w:after="0" w:line="27" w:lineRule="exact"/>
        <w:rPr>
          <w:sz w:val="20"/>
          <w:szCs w:val="20"/>
          <w:color w:val="auto"/>
        </w:rPr>
      </w:pPr>
    </w:p>
    <w:p>
      <w:pPr>
        <w:ind w:left="140" w:right="1260"/>
        <w:spacing w:after="0" w:line="287" w:lineRule="auto"/>
        <w:rPr>
          <w:sz w:val="20"/>
          <w:szCs w:val="20"/>
          <w:color w:val="auto"/>
        </w:rPr>
      </w:pPr>
      <w:r>
        <w:rPr>
          <w:rFonts w:ascii="Times New Roman" w:cs="Times New Roman" w:eastAsia="Times New Roman" w:hAnsi="Times New Roman"/>
          <w:sz w:val="17"/>
          <w:szCs w:val="17"/>
          <w:color w:val="auto"/>
        </w:rPr>
        <w:t>Other non-current liabilities Total non-current liabilities</w:t>
      </w:r>
    </w:p>
    <w:p>
      <w:pPr>
        <w:ind w:left="2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36" w:lineRule="exact"/>
        <w:rPr>
          <w:sz w:val="20"/>
          <w:szCs w:val="20"/>
          <w:color w:val="auto"/>
        </w:rPr>
      </w:pPr>
    </w:p>
    <w:p>
      <w:pPr>
        <w:ind w:left="20" w:right="1020"/>
        <w:spacing w:after="0" w:line="314" w:lineRule="auto"/>
        <w:rPr>
          <w:sz w:val="20"/>
          <w:szCs w:val="20"/>
          <w:color w:val="auto"/>
        </w:rPr>
      </w:pPr>
      <w:r>
        <w:rPr>
          <w:rFonts w:ascii="Times New Roman" w:cs="Times New Roman" w:eastAsia="Times New Roman" w:hAnsi="Times New Roman"/>
          <w:sz w:val="17"/>
          <w:szCs w:val="17"/>
          <w:color w:val="auto"/>
        </w:rPr>
        <w:t>Commitments and contingencies Stockholders' equity</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Convertible preferred stock</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Series A</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Series B</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Common stock</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Treasury stock</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70,578</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70,578</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115,005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115,005</w:t>
            </w:r>
          </w:p>
        </w:tc>
      </w:tr>
      <w:tr>
        <w:trPr>
          <w:trHeight w:val="270"/>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2,874</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420" w:type="dxa"/>
            <w:vAlign w:val="bottom"/>
          </w:tcPr>
          <w:p>
            <w:pPr>
              <w:spacing w:after="0"/>
              <w:rPr>
                <w:sz w:val="23"/>
                <w:szCs w:val="23"/>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7,564</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w:t>
            </w:r>
          </w:p>
        </w:tc>
      </w:tr>
      <w:tr>
        <w:trPr>
          <w:trHeight w:val="270"/>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73,452</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73,452</w:t>
            </w:r>
          </w:p>
        </w:tc>
        <w:tc>
          <w:tcPr>
            <w:tcW w:w="420" w:type="dxa"/>
            <w:vAlign w:val="bottom"/>
          </w:tcPr>
          <w:p>
            <w:pPr>
              <w:spacing w:after="0"/>
              <w:rPr>
                <w:sz w:val="23"/>
                <w:szCs w:val="23"/>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122,569</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122,569</w:t>
            </w:r>
          </w:p>
        </w:tc>
      </w:tr>
      <w:tr>
        <w:trPr>
          <w:trHeight w:val="270"/>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11,720</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420" w:type="dxa"/>
            <w:vAlign w:val="bottom"/>
          </w:tcPr>
          <w:p>
            <w:pPr>
              <w:spacing w:after="0"/>
              <w:rPr>
                <w:sz w:val="23"/>
                <w:szCs w:val="23"/>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3,153</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70"/>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3,804</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420" w:type="dxa"/>
            <w:vAlign w:val="bottom"/>
          </w:tcPr>
          <w:p>
            <w:pPr>
              <w:spacing w:after="0"/>
              <w:rPr>
                <w:sz w:val="23"/>
                <w:szCs w:val="23"/>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4,366</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w:t>
            </w:r>
          </w:p>
        </w:tc>
      </w:tr>
      <w:tr>
        <w:trPr>
          <w:trHeight w:val="243"/>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88,976</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88,976</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130,088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130,088</w:t>
            </w:r>
          </w:p>
        </w:tc>
      </w:tr>
      <w:tr>
        <w:trPr>
          <w:trHeight w:val="756"/>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3,881</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5,921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r>
      <w:tr>
        <w:trPr>
          <w:trHeight w:val="414"/>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7,787</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11,039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18,826</w:t>
            </w:r>
          </w:p>
        </w:tc>
        <w:tc>
          <w:tcPr>
            <w:tcW w:w="420" w:type="dxa"/>
            <w:vAlign w:val="bottom"/>
          </w:tcPr>
          <w:p>
            <w:pPr>
              <w:spacing w:after="0"/>
              <w:rPr>
                <w:sz w:val="24"/>
                <w:szCs w:val="24"/>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4,103</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7,625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r>
      <w:tr>
        <w:trPr>
          <w:trHeight w:val="230"/>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526</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420" w:type="dxa"/>
            <w:vAlign w:val="bottom"/>
          </w:tcPr>
          <w:p>
            <w:pPr>
              <w:spacing w:after="0"/>
              <w:rPr>
                <w:sz w:val="19"/>
                <w:szCs w:val="19"/>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314</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34"/>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1,266</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420" w:type="dxa"/>
            <w:vAlign w:val="bottom"/>
          </w:tcPr>
          <w:p>
            <w:pPr>
              <w:spacing w:after="0"/>
              <w:rPr>
                <w:sz w:val="20"/>
                <w:szCs w:val="20"/>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13,460</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11,039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24,499</w:t>
            </w:r>
          </w:p>
        </w:tc>
        <w:tc>
          <w:tcPr>
            <w:tcW w:w="420" w:type="dxa"/>
            <w:vAlign w:val="bottom"/>
          </w:tcPr>
          <w:p>
            <w:pPr>
              <w:spacing w:after="0"/>
              <w:rPr>
                <w:sz w:val="21"/>
                <w:szCs w:val="21"/>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10,338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7,625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17,963</w:t>
            </w:r>
          </w:p>
        </w:tc>
      </w:tr>
      <w:tr>
        <w:trPr>
          <w:trHeight w:val="643"/>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3,308</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420" w:type="dxa"/>
            <w:vAlign w:val="bottom"/>
          </w:tcPr>
          <w:p>
            <w:pPr>
              <w:spacing w:after="0"/>
              <w:rPr>
                <w:sz w:val="24"/>
                <w:szCs w:val="24"/>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3,892</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w:t>
            </w:r>
          </w:p>
        </w:tc>
      </w:tr>
      <w:tr>
        <w:trPr>
          <w:trHeight w:val="230"/>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1,472</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420" w:type="dxa"/>
            <w:vAlign w:val="bottom"/>
          </w:tcPr>
          <w:p>
            <w:pPr>
              <w:spacing w:after="0"/>
              <w:rPr>
                <w:sz w:val="19"/>
                <w:szCs w:val="19"/>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1,750</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4"/>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455</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420" w:type="dxa"/>
            <w:vAlign w:val="bottom"/>
          </w:tcPr>
          <w:p>
            <w:pPr>
              <w:spacing w:after="0"/>
              <w:rPr>
                <w:sz w:val="20"/>
                <w:szCs w:val="20"/>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5,235</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420" w:type="dxa"/>
            <w:vAlign w:val="bottom"/>
          </w:tcPr>
          <w:p>
            <w:pPr>
              <w:spacing w:after="0"/>
              <w:rPr>
                <w:sz w:val="21"/>
                <w:szCs w:val="21"/>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5,642</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w:t>
            </w:r>
          </w:p>
        </w:tc>
      </w:tr>
      <w:tr>
        <w:trPr>
          <w:trHeight w:val="243"/>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18,695</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11,039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420" w:type="dxa"/>
            <w:vAlign w:val="bottom"/>
          </w:tcPr>
          <w:p>
            <w:pPr>
              <w:spacing w:after="0"/>
              <w:rPr>
                <w:sz w:val="21"/>
                <w:szCs w:val="21"/>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15,980</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7,625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23,605</w:t>
            </w:r>
          </w:p>
        </w:tc>
      </w:tr>
      <w:tr>
        <w:trPr>
          <w:trHeight w:val="1040"/>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23"/>
                <w:szCs w:val="23"/>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2,566</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420" w:type="dxa"/>
            <w:vAlign w:val="bottom"/>
          </w:tcPr>
          <w:p>
            <w:pPr>
              <w:spacing w:after="0"/>
              <w:rPr>
                <w:sz w:val="23"/>
                <w:szCs w:val="23"/>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2,163</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70"/>
        </w:trPr>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(48)</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tcPr>
          <w:p>
            <w:pPr>
              <w:spacing w:after="0"/>
              <w:rPr>
                <w:sz w:val="23"/>
                <w:szCs w:val="23"/>
                <w:color w:val="auto"/>
              </w:rPr>
            </w:pPr>
          </w:p>
        </w:tc>
        <w:tc>
          <w:tcPr>
            <w:tcW w:w="15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0"/>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320,181</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320,181</w:t>
            </w:r>
          </w:p>
        </w:tc>
        <w:tc>
          <w:tcPr>
            <w:tcW w:w="420" w:type="dxa"/>
            <w:vAlign w:val="bottom"/>
          </w:tcPr>
          <w:p>
            <w:pPr>
              <w:spacing w:after="0"/>
              <w:rPr>
                <w:sz w:val="23"/>
                <w:szCs w:val="23"/>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281,139</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281,139</w:t>
            </w:r>
          </w:p>
        </w:tc>
      </w:tr>
      <w:tr>
        <w:trPr>
          <w:trHeight w:val="270"/>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22</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23"/>
                <w:szCs w:val="23"/>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8"/>
        </w:trPr>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6"/>
              </w:rPr>
              <w:t>(252,441)</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(11,039)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(263,480)</w:t>
            </w:r>
          </w:p>
        </w:tc>
        <w:tc>
          <w:tcPr>
            <w:tcW w:w="420" w:type="dxa"/>
            <w:vAlign w:val="bottom"/>
          </w:tcPr>
          <w:p>
            <w:pPr>
              <w:spacing w:after="0"/>
              <w:rPr>
                <w:sz w:val="23"/>
                <w:szCs w:val="23"/>
                <w:color w:val="auto"/>
              </w:rPr>
            </w:pPr>
          </w:p>
        </w:tc>
        <w:tc>
          <w:tcPr>
            <w:tcW w:w="15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(169,157)</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-5073015</wp:posOffset>
            </wp:positionV>
            <wp:extent cx="713232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-4730115</wp:posOffset>
            </wp:positionV>
            <wp:extent cx="7132320" cy="45605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6">
                      <a:extLst>
                        <a:ext uri="{28A0092B-C50C-407E-A947-70E740481C1C}"/>
                      </a:extLst>
                    </a:blip>
                    <a:srcRect/>
                    <a:stretch>
                      <a:fillRect/>
                    </a:stretch>
                  </pic:blipFill>
                  <pic:spPr bwMode="auto">
                    <a:xfrm>
                      <a:off x="0" y="0"/>
                      <a:ext cx="7132320" cy="45605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400" w:space="620"/>
            <w:col w:w="722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70,281</w:t>
            </w:r>
          </w:p>
        </w:tc>
        <w:tc>
          <w:tcPr>
            <w:tcW w:w="14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(11,039)</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59,242</w:t>
            </w: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114,108</w:t>
            </w:r>
          </w:p>
        </w:tc>
        <w:tc>
          <w:tcPr>
            <w:tcW w:w="13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(7,625)</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106,483</w:t>
            </w: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88,976</w:t>
            </w: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88,976</w:t>
            </w: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130,088</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130,088</w:t>
            </w:r>
          </w:p>
        </w:tc>
      </w:tr>
      <w:tr>
        <w:trPr>
          <w:trHeight w:val="21"/>
        </w:trPr>
        <w:tc>
          <w:tcPr>
            <w:tcW w:w="3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57"/>
        </w:trPr>
        <w:tc>
          <w:tcPr>
            <w:tcW w:w="3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F-32</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3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September 30, 2023</w:t>
            </w:r>
          </w:p>
        </w:tc>
        <w:tc>
          <w:tcPr>
            <w:tcW w:w="18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920" w:type="dxa"/>
            <w:vAlign w:val="bottom"/>
            <w:tcBorders>
              <w:bottom w:val="single" w:sz="8" w:color="auto"/>
            </w:tcBorders>
          </w:tcPr>
          <w:p>
            <w:pPr>
              <w:spacing w:after="0"/>
              <w:rPr>
                <w:sz w:val="20"/>
                <w:szCs w:val="20"/>
                <w:color w:val="auto"/>
              </w:rPr>
            </w:pPr>
          </w:p>
        </w:tc>
      </w:tr>
      <w:tr>
        <w:trPr>
          <w:trHeight w:val="169"/>
        </w:trPr>
        <w:tc>
          <w:tcPr>
            <w:tcW w:w="322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Corrected Condensed Consolidated</w:t>
            </w:r>
          </w:p>
        </w:tc>
        <w:tc>
          <w:tcPr>
            <w:tcW w:w="10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As previously</w:t>
            </w:r>
          </w:p>
        </w:tc>
        <w:tc>
          <w:tcPr>
            <w:tcW w:w="2000" w:type="dxa"/>
            <w:vAlign w:val="bottom"/>
          </w:tcPr>
          <w:p>
            <w:pPr>
              <w:spacing w:after="0"/>
              <w:rPr>
                <w:sz w:val="14"/>
                <w:szCs w:val="14"/>
                <w:color w:val="auto"/>
              </w:rPr>
            </w:pPr>
          </w:p>
        </w:tc>
        <w:tc>
          <w:tcPr>
            <w:tcW w:w="4040" w:type="dxa"/>
            <w:vAlign w:val="bottom"/>
            <w:gridSpan w:val="2"/>
          </w:tcPr>
          <w:p>
            <w:pPr>
              <w:ind w:left="104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92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As</w:t>
            </w:r>
          </w:p>
        </w:tc>
      </w:tr>
      <w:tr>
        <w:trPr>
          <w:trHeight w:val="243"/>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Sheets (Unaudited)</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Adjustment</w:t>
            </w:r>
          </w:p>
        </w:tc>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Restated  reported</w:t>
            </w:r>
          </w:p>
        </w:tc>
        <w:tc>
          <w:tcPr>
            <w:tcW w:w="22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Adjustment</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Restated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803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63" w:lineRule="exact"/>
        <w:rPr>
          <w:sz w:val="20"/>
          <w:szCs w:val="20"/>
          <w:color w:val="auto"/>
        </w:rPr>
      </w:pPr>
    </w:p>
    <w:p>
      <w:pPr>
        <w:ind w:left="140"/>
        <w:spacing w:after="0"/>
        <w:tabs>
          <w:tab w:leader="none" w:pos="3240" w:val="left"/>
        </w:tabs>
        <w:rPr>
          <w:sz w:val="20"/>
          <w:szCs w:val="20"/>
          <w:color w:val="auto"/>
        </w:rPr>
      </w:pPr>
      <w:r>
        <w:rPr>
          <w:rFonts w:ascii="Times New Roman" w:cs="Times New Roman" w:eastAsia="Times New Roman" w:hAnsi="Times New Roman"/>
          <w:sz w:val="18"/>
          <w:szCs w:val="18"/>
          <w:color w:val="auto"/>
        </w:rPr>
        <w:t>Cash and cash equivalents</w:t>
      </w:r>
      <w:r>
        <w:rPr>
          <w:sz w:val="20"/>
          <w:szCs w:val="20"/>
          <w:color w:val="auto"/>
        </w:rPr>
        <w:tab/>
      </w:r>
      <w:r>
        <w:rPr>
          <w:rFonts w:ascii="Times New Roman" w:cs="Times New Roman" w:eastAsia="Times New Roman" w:hAnsi="Times New Roman"/>
          <w:sz w:val="16"/>
          <w:szCs w:val="16"/>
          <w:color w:val="auto"/>
        </w:rPr>
        <w:t>$</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Marketable securities</w:t>
      </w:r>
    </w:p>
    <w:p>
      <w:pPr>
        <w:spacing w:after="0" w:line="63" w:lineRule="exact"/>
        <w:rPr>
          <w:sz w:val="20"/>
          <w:szCs w:val="20"/>
          <w:color w:val="auto"/>
        </w:rPr>
      </w:pPr>
    </w:p>
    <w:p>
      <w:pPr>
        <w:ind w:left="140" w:right="240"/>
        <w:spacing w:after="0" w:line="313" w:lineRule="auto"/>
        <w:rPr>
          <w:sz w:val="20"/>
          <w:szCs w:val="20"/>
          <w:color w:val="auto"/>
        </w:rPr>
      </w:pPr>
      <w:r>
        <w:rPr>
          <w:rFonts w:ascii="Times New Roman" w:cs="Times New Roman" w:eastAsia="Times New Roman" w:hAnsi="Times New Roman"/>
          <w:sz w:val="18"/>
          <w:szCs w:val="18"/>
          <w:color w:val="auto"/>
        </w:rPr>
        <w:t>Prepaid expenses and other current assets Total current assets</w:t>
      </w:r>
    </w:p>
    <w:p>
      <w:pPr>
        <w:ind w:left="140" w:right="1180"/>
        <w:spacing w:after="0" w:line="310" w:lineRule="auto"/>
        <w:rPr>
          <w:sz w:val="20"/>
          <w:szCs w:val="20"/>
          <w:color w:val="auto"/>
        </w:rPr>
      </w:pPr>
      <w:r>
        <w:rPr>
          <w:rFonts w:ascii="Times New Roman" w:cs="Times New Roman" w:eastAsia="Times New Roman" w:hAnsi="Times New Roman"/>
          <w:sz w:val="18"/>
          <w:szCs w:val="18"/>
          <w:color w:val="auto"/>
        </w:rPr>
        <w:t>Property and equipment, net Other assets</w:t>
      </w:r>
    </w:p>
    <w:p>
      <w:pPr>
        <w:spacing w:after="0" w:line="1" w:lineRule="exact"/>
        <w:rPr>
          <w:sz w:val="20"/>
          <w:szCs w:val="20"/>
          <w:color w:val="auto"/>
        </w:rPr>
      </w:pPr>
    </w:p>
    <w:p>
      <w:pPr>
        <w:ind w:left="2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Total assets</w:t>
      </w:r>
      <w:r>
        <w:rPr>
          <w:sz w:val="20"/>
          <w:szCs w:val="20"/>
          <w:color w:val="auto"/>
        </w:rPr>
        <w:tab/>
      </w:r>
      <w:r>
        <w:rPr>
          <w:rFonts w:ascii="Times New Roman" w:cs="Times New Roman" w:eastAsia="Times New Roman" w:hAnsi="Times New Roman"/>
          <w:sz w:val="16"/>
          <w:szCs w:val="16"/>
          <w:color w:val="auto"/>
        </w:rPr>
        <w:t>$</w:t>
      </w:r>
    </w:p>
    <w:p>
      <w:pPr>
        <w:spacing w:after="0" w:line="63" w:lineRule="exact"/>
        <w:rPr>
          <w:sz w:val="20"/>
          <w:szCs w:val="20"/>
          <w:color w:val="auto"/>
        </w:rPr>
      </w:pPr>
    </w:p>
    <w:p>
      <w:pPr>
        <w:ind w:left="20"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Liabilities and stockholders' equity </w:t>
      </w:r>
      <w:r>
        <w:rPr>
          <w:rFonts w:ascii="Times New Roman" w:cs="Times New Roman" w:eastAsia="Times New Roman" w:hAnsi="Times New Roman"/>
          <w:sz w:val="18"/>
          <w:szCs w:val="18"/>
          <w:color w:val="auto"/>
        </w:rPr>
        <w:t>Current liabilities</w:t>
      </w:r>
    </w:p>
    <w:p>
      <w:pPr>
        <w:spacing w:after="0" w:line="2" w:lineRule="exact"/>
        <w:rPr>
          <w:sz w:val="20"/>
          <w:szCs w:val="20"/>
          <w:color w:val="auto"/>
        </w:rPr>
      </w:pPr>
    </w:p>
    <w:p>
      <w:pPr>
        <w:ind w:left="140"/>
        <w:spacing w:after="0"/>
        <w:tabs>
          <w:tab w:leader="none" w:pos="3240" w:val="left"/>
        </w:tabs>
        <w:rPr>
          <w:sz w:val="20"/>
          <w:szCs w:val="20"/>
          <w:color w:val="auto"/>
        </w:rPr>
      </w:pPr>
      <w:r>
        <w:rPr>
          <w:rFonts w:ascii="Times New Roman" w:cs="Times New Roman" w:eastAsia="Times New Roman" w:hAnsi="Times New Roman"/>
          <w:sz w:val="18"/>
          <w:szCs w:val="18"/>
          <w:color w:val="auto"/>
        </w:rPr>
        <w:t>Accounts payable</w:t>
      </w:r>
      <w:r>
        <w:rPr>
          <w:sz w:val="20"/>
          <w:szCs w:val="20"/>
          <w:color w:val="auto"/>
        </w:rPr>
        <w:tab/>
      </w:r>
      <w:r>
        <w:rPr>
          <w:rFonts w:ascii="Times New Roman" w:cs="Times New Roman" w:eastAsia="Times New Roman" w:hAnsi="Times New Roman"/>
          <w:sz w:val="16"/>
          <w:szCs w:val="16"/>
          <w:color w:val="auto"/>
        </w:rPr>
        <w:t>$</w:t>
      </w:r>
    </w:p>
    <w:p>
      <w:pPr>
        <w:spacing w:after="0" w:line="23" w:lineRule="exact"/>
        <w:rPr>
          <w:sz w:val="20"/>
          <w:szCs w:val="20"/>
          <w:color w:val="auto"/>
        </w:rPr>
      </w:pPr>
    </w:p>
    <w:p>
      <w:pPr>
        <w:ind w:left="140" w:right="640"/>
        <w:spacing w:after="0" w:line="234" w:lineRule="auto"/>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obligations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portion of long term debt</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liabilities</w:t>
      </w:r>
    </w:p>
    <w:p>
      <w:pPr>
        <w:spacing w:after="0" w:line="27" w:lineRule="exact"/>
        <w:rPr>
          <w:sz w:val="20"/>
          <w:szCs w:val="20"/>
          <w:color w:val="auto"/>
        </w:rPr>
      </w:pPr>
    </w:p>
    <w:p>
      <w:pPr>
        <w:ind w:left="140" w:right="340"/>
        <w:spacing w:after="0" w:line="234" w:lineRule="auto"/>
        <w:rPr>
          <w:sz w:val="20"/>
          <w:szCs w:val="20"/>
          <w:color w:val="auto"/>
        </w:rPr>
      </w:pPr>
      <w:r>
        <w:rPr>
          <w:rFonts w:ascii="Times New Roman" w:cs="Times New Roman" w:eastAsia="Times New Roman" w:hAnsi="Times New Roman"/>
          <w:sz w:val="18"/>
          <w:szCs w:val="18"/>
          <w:color w:val="auto"/>
        </w:rPr>
        <w:t>Operating lease obligations, less current portion</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Long term debt, net</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non-current liabilities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36" w:lineRule="exact"/>
        <w:rPr>
          <w:sz w:val="20"/>
          <w:szCs w:val="20"/>
          <w:color w:val="auto"/>
        </w:rPr>
      </w:pPr>
    </w:p>
    <w:p>
      <w:pPr>
        <w:ind w:left="20" w:right="980"/>
        <w:spacing w:after="0" w:line="314" w:lineRule="auto"/>
        <w:rPr>
          <w:sz w:val="20"/>
          <w:szCs w:val="20"/>
          <w:color w:val="auto"/>
        </w:rPr>
      </w:pPr>
      <w:r>
        <w:rPr>
          <w:rFonts w:ascii="Times New Roman" w:cs="Times New Roman" w:eastAsia="Times New Roman" w:hAnsi="Times New Roman"/>
          <w:sz w:val="17"/>
          <w:szCs w:val="17"/>
          <w:color w:val="auto"/>
        </w:rPr>
        <w:t>Commitments and contingencies Stockholders' equity</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Convertible preferred stock</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Series A</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Series B</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Common stock</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Treasury stock</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53,477</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53,477</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101,602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101,602</w:t>
            </w:r>
          </w:p>
        </w:tc>
      </w:tr>
      <w:tr>
        <w:trPr>
          <w:trHeight w:val="270"/>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3,081</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480" w:type="dxa"/>
            <w:vAlign w:val="bottom"/>
          </w:tcPr>
          <w:p>
            <w:pPr>
              <w:spacing w:after="0"/>
              <w:rPr>
                <w:sz w:val="23"/>
                <w:szCs w:val="23"/>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5,895</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w:t>
            </w:r>
          </w:p>
        </w:tc>
      </w:tr>
      <w:tr>
        <w:trPr>
          <w:trHeight w:val="270"/>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56,558</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56,558</w:t>
            </w:r>
          </w:p>
        </w:tc>
        <w:tc>
          <w:tcPr>
            <w:tcW w:w="480" w:type="dxa"/>
            <w:vAlign w:val="bottom"/>
          </w:tcPr>
          <w:p>
            <w:pPr>
              <w:spacing w:after="0"/>
              <w:rPr>
                <w:sz w:val="23"/>
                <w:szCs w:val="23"/>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107,497</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107,497</w:t>
            </w:r>
          </w:p>
        </w:tc>
      </w:tr>
      <w:tr>
        <w:trPr>
          <w:trHeight w:val="270"/>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14,469</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480" w:type="dxa"/>
            <w:vAlign w:val="bottom"/>
          </w:tcPr>
          <w:p>
            <w:pPr>
              <w:spacing w:after="0"/>
              <w:rPr>
                <w:sz w:val="23"/>
                <w:szCs w:val="23"/>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4,517</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r>
      <w:tr>
        <w:trPr>
          <w:trHeight w:val="270"/>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3,660</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480" w:type="dxa"/>
            <w:vAlign w:val="bottom"/>
          </w:tcPr>
          <w:p>
            <w:pPr>
              <w:spacing w:after="0"/>
              <w:rPr>
                <w:sz w:val="23"/>
                <w:szCs w:val="23"/>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4,225</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r>
      <w:tr>
        <w:trPr>
          <w:trHeight w:val="243"/>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74,687</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74,687</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116,239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116,239</w:t>
            </w:r>
          </w:p>
        </w:tc>
      </w:tr>
      <w:tr>
        <w:trPr>
          <w:trHeight w:val="756"/>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2,921</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6,460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r>
      <w:tr>
        <w:trPr>
          <w:trHeight w:val="414"/>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6,399</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8,594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480" w:type="dxa"/>
            <w:vAlign w:val="bottom"/>
          </w:tcPr>
          <w:p>
            <w:pPr>
              <w:spacing w:after="0"/>
              <w:rPr>
                <w:sz w:val="24"/>
                <w:szCs w:val="24"/>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8,004</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9,616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17,620</w:t>
            </w:r>
          </w:p>
        </w:tc>
      </w:tr>
      <w:tr>
        <w:trPr>
          <w:trHeight w:val="230"/>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540</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480" w:type="dxa"/>
            <w:vAlign w:val="bottom"/>
          </w:tcPr>
          <w:p>
            <w:pPr>
              <w:spacing w:after="0"/>
              <w:rPr>
                <w:sz w:val="19"/>
                <w:szCs w:val="19"/>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443</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4"/>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1,276</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480" w:type="dxa"/>
            <w:vAlign w:val="bottom"/>
          </w:tcPr>
          <w:p>
            <w:pPr>
              <w:spacing w:after="0"/>
              <w:rPr>
                <w:sz w:val="20"/>
                <w:szCs w:val="20"/>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11,136</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8,594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19,730</w:t>
            </w:r>
          </w:p>
        </w:tc>
        <w:tc>
          <w:tcPr>
            <w:tcW w:w="480" w:type="dxa"/>
            <w:vAlign w:val="bottom"/>
          </w:tcPr>
          <w:p>
            <w:pPr>
              <w:spacing w:after="0"/>
              <w:rPr>
                <w:sz w:val="21"/>
                <w:szCs w:val="21"/>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14,907</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9,616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24,523</w:t>
            </w:r>
          </w:p>
        </w:tc>
      </w:tr>
      <w:tr>
        <w:trPr>
          <w:trHeight w:val="643"/>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3,164</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480" w:type="dxa"/>
            <w:vAlign w:val="bottom"/>
          </w:tcPr>
          <w:p>
            <w:pPr>
              <w:spacing w:after="0"/>
              <w:rPr>
                <w:sz w:val="24"/>
                <w:szCs w:val="24"/>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3,764</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r>
      <w:tr>
        <w:trPr>
          <w:trHeight w:val="230"/>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1,495</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480" w:type="dxa"/>
            <w:vAlign w:val="bottom"/>
          </w:tcPr>
          <w:p>
            <w:pPr>
              <w:spacing w:after="0"/>
              <w:rPr>
                <w:sz w:val="19"/>
                <w:szCs w:val="19"/>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2,265</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34"/>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497</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480" w:type="dxa"/>
            <w:vAlign w:val="bottom"/>
          </w:tcPr>
          <w:p>
            <w:pPr>
              <w:spacing w:after="0"/>
              <w:rPr>
                <w:sz w:val="20"/>
                <w:szCs w:val="20"/>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5,156</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480" w:type="dxa"/>
            <w:vAlign w:val="bottom"/>
          </w:tcPr>
          <w:p>
            <w:pPr>
              <w:spacing w:after="0"/>
              <w:rPr>
                <w:sz w:val="21"/>
                <w:szCs w:val="21"/>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6,029</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r>
      <w:tr>
        <w:trPr>
          <w:trHeight w:val="243"/>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16,292</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8,594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24,886</w:t>
            </w:r>
          </w:p>
        </w:tc>
        <w:tc>
          <w:tcPr>
            <w:tcW w:w="480" w:type="dxa"/>
            <w:vAlign w:val="bottom"/>
          </w:tcPr>
          <w:p>
            <w:pPr>
              <w:spacing w:after="0"/>
              <w:rPr>
                <w:sz w:val="21"/>
                <w:szCs w:val="21"/>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20,936</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9,616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30,552</w:t>
            </w:r>
          </w:p>
        </w:tc>
      </w:tr>
      <w:tr>
        <w:trPr>
          <w:trHeight w:val="1040"/>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3"/>
                <w:szCs w:val="23"/>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2,566</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480" w:type="dxa"/>
            <w:vAlign w:val="bottom"/>
          </w:tcPr>
          <w:p>
            <w:pPr>
              <w:spacing w:after="0"/>
              <w:rPr>
                <w:sz w:val="23"/>
                <w:szCs w:val="23"/>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2,168</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70"/>
        </w:trPr>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(48)</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tcPr>
          <w:p>
            <w:pPr>
              <w:spacing w:after="0"/>
              <w:rPr>
                <w:sz w:val="23"/>
                <w:szCs w:val="23"/>
                <w:color w:val="auto"/>
              </w:rPr>
            </w:pP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(48)</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0"/>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322,452</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322,452</w:t>
            </w:r>
          </w:p>
        </w:tc>
        <w:tc>
          <w:tcPr>
            <w:tcW w:w="480" w:type="dxa"/>
            <w:vAlign w:val="bottom"/>
          </w:tcPr>
          <w:p>
            <w:pPr>
              <w:spacing w:after="0"/>
              <w:rPr>
                <w:sz w:val="23"/>
                <w:szCs w:val="23"/>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284,231</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284,231</w:t>
            </w:r>
          </w:p>
        </w:tc>
      </w:tr>
      <w:tr>
        <w:trPr>
          <w:trHeight w:val="270"/>
        </w:trPr>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27</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80" w:type="dxa"/>
            <w:vAlign w:val="bottom"/>
          </w:tcPr>
          <w:p>
            <w:pPr>
              <w:spacing w:after="0"/>
              <w:rPr>
                <w:sz w:val="23"/>
                <w:szCs w:val="23"/>
                <w:color w:val="auto"/>
              </w:rPr>
            </w:pPr>
          </w:p>
        </w:tc>
        <w:tc>
          <w:tcPr>
            <w:tcW w:w="15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68"/>
        </w:trPr>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6"/>
              </w:rPr>
              <w:t>(266,603)</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(8,594)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(275,197)</w:t>
            </w:r>
          </w:p>
        </w:tc>
        <w:tc>
          <w:tcPr>
            <w:tcW w:w="480" w:type="dxa"/>
            <w:vAlign w:val="bottom"/>
          </w:tcPr>
          <w:p>
            <w:pPr>
              <w:spacing w:after="0"/>
              <w:rPr>
                <w:sz w:val="23"/>
                <w:szCs w:val="23"/>
                <w:color w:val="auto"/>
              </w:rPr>
            </w:pP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(191,079)</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(9,616)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(200,695)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-5073015</wp:posOffset>
            </wp:positionV>
            <wp:extent cx="713232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-4730115</wp:posOffset>
            </wp:positionV>
            <wp:extent cx="7132320" cy="45605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7132320" cy="45605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60" w:space="720"/>
            <w:col w:w="716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58,395</w:t>
            </w:r>
          </w:p>
        </w:tc>
        <w:tc>
          <w:tcPr>
            <w:tcW w:w="14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(8,594)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49,801</w:t>
            </w: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95,303</w:t>
            </w:r>
          </w:p>
        </w:tc>
        <w:tc>
          <w:tcPr>
            <w:tcW w:w="1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(9,616)</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85,687</w:t>
            </w: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74,687</w:t>
            </w: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74,687</w:t>
            </w:r>
          </w:p>
        </w:tc>
        <w:tc>
          <w:tcPr>
            <w:tcW w:w="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116,239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116,239</w:t>
            </w:r>
          </w:p>
        </w:tc>
      </w:tr>
      <w:tr>
        <w:trPr>
          <w:trHeight w:val="21"/>
        </w:trPr>
        <w:tc>
          <w:tcPr>
            <w:tcW w:w="3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57"/>
        </w:trPr>
        <w:tc>
          <w:tcPr>
            <w:tcW w:w="3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F-33</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6"/>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Corrected Condensed Consolidated</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 and</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previously</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previously</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(Unaudited)</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reported</w:t>
            </w: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9"/>
              </w:rPr>
              <w:t>Adjustment</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 Restated</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reported</w:t>
            </w: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9"/>
              </w:rPr>
              <w:t>Adjustment</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Restated</w:t>
            </w: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Collaborative arrangement revenue</w:t>
            </w: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(19,030)</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(16,499)</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8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(19,015)</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used in calculating net loss per</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share — basic and diluted</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225,523,627</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225,523,627</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205,693,498</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205,693,498</w:t>
            </w:r>
          </w:p>
        </w:tc>
        <w:tc>
          <w:tcPr>
            <w:tcW w:w="0" w:type="dxa"/>
            <w:vAlign w:val="bottom"/>
          </w:tcPr>
          <w:p>
            <w:pPr>
              <w:spacing w:after="0"/>
              <w:rPr>
                <w:sz w:val="1"/>
                <w:szCs w:val="1"/>
                <w:color w:val="auto"/>
              </w:rPr>
            </w:pPr>
          </w:p>
        </w:tc>
      </w:tr>
      <w:tr>
        <w:trPr>
          <w:trHeight w:val="155"/>
        </w:trPr>
        <w:tc>
          <w:tcPr>
            <w:tcW w:w="32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per share of common stock — basic</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6"/>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7"/>
        </w:trPr>
        <w:tc>
          <w:tcPr>
            <w:tcW w:w="1280" w:type="dxa"/>
            <w:vAlign w:val="bottom"/>
            <w:tcBorders>
              <w:top w:val="single" w:sz="8" w:color="0000FF"/>
            </w:tcBorders>
          </w:tcPr>
          <w:p>
            <w:pPr>
              <w:spacing w:after="0"/>
              <w:rPr>
                <w:sz w:val="24"/>
                <w:szCs w:val="24"/>
                <w:color w:val="auto"/>
              </w:rPr>
            </w:pPr>
          </w:p>
        </w:tc>
        <w:tc>
          <w:tcPr>
            <w:tcW w:w="20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Corrected Condensed Consolidated</w:t>
            </w:r>
          </w:p>
        </w:tc>
        <w:tc>
          <w:tcPr>
            <w:tcW w:w="7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280" w:type="dxa"/>
            <w:vAlign w:val="bottom"/>
            <w:gridSpan w:val="2"/>
            <w:vMerge w:val="continue"/>
          </w:tcPr>
          <w:p>
            <w:pPr>
              <w:spacing w:after="0"/>
              <w:rPr>
                <w:sz w:val="13"/>
                <w:szCs w:val="13"/>
                <w:color w:val="auto"/>
              </w:rPr>
            </w:pPr>
          </w:p>
        </w:tc>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previously</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previously</w:t>
            </w: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Statements of Operations and</w:t>
            </w:r>
          </w:p>
        </w:tc>
        <w:tc>
          <w:tcPr>
            <w:tcW w:w="2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(Unaudited)</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w:t>
            </w:r>
          </w:p>
        </w:tc>
        <w:tc>
          <w:tcPr>
            <w:tcW w:w="1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Adjustment</w:t>
            </w:r>
          </w:p>
        </w:tc>
        <w:tc>
          <w:tcPr>
            <w:tcW w:w="420" w:type="dxa"/>
            <w:vAlign w:val="bottom"/>
          </w:tcPr>
          <w:p>
            <w:pPr>
              <w:spacing w:after="0"/>
              <w:rPr>
                <w:sz w:val="21"/>
                <w:szCs w:val="21"/>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 Restated</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reported</w:t>
            </w: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9"/>
              </w:rPr>
              <w:t>Adjustment</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Restated</w:t>
            </w: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Collaborative arrangement revenue</w:t>
            </w: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7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0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tcPr>
          <w:p>
            <w:pPr>
              <w:spacing w:after="0"/>
              <w:rPr>
                <w:sz w:val="19"/>
                <w:szCs w:val="19"/>
                <w:color w:val="auto"/>
              </w:rPr>
            </w:pPr>
          </w:p>
        </w:tc>
        <w:tc>
          <w:tcPr>
            <w:tcW w:w="17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14,169</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9,564</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(113)</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23,733</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22,219</w:t>
            </w: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74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(23,733)</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808</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(333)</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(22,925)</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(140)</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(21,482)</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74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6"/>
        </w:trPr>
        <w:tc>
          <w:tcPr>
            <w:tcW w:w="32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(loss) on marketable</w:t>
            </w:r>
          </w:p>
        </w:tc>
        <w:tc>
          <w:tcPr>
            <w:tcW w:w="7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7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(22,928)</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(140)</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(21,472)</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used in calculating net loss per</w:t>
            </w:r>
          </w:p>
        </w:tc>
        <w:tc>
          <w:tcPr>
            <w:tcW w:w="7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 — basic and diluted</w:t>
            </w:r>
          </w:p>
        </w:tc>
        <w:tc>
          <w:tcPr>
            <w:tcW w:w="2520" w:type="dxa"/>
            <w:vAlign w:val="bottom"/>
            <w:tcBorders>
              <w:bottom w:val="single" w:sz="8" w:color="auto"/>
            </w:tcBorders>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238,311,498</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238,311,498</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215,862,977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215,862,977</w:t>
            </w:r>
          </w:p>
        </w:tc>
        <w:tc>
          <w:tcPr>
            <w:tcW w:w="0" w:type="dxa"/>
            <w:vAlign w:val="bottom"/>
          </w:tcPr>
          <w:p>
            <w:pPr>
              <w:spacing w:after="0"/>
              <w:rPr>
                <w:sz w:val="1"/>
                <w:szCs w:val="1"/>
                <w:color w:val="auto"/>
              </w:rPr>
            </w:pPr>
          </w:p>
        </w:tc>
      </w:tr>
      <w:tr>
        <w:trPr>
          <w:trHeight w:val="156"/>
        </w:trPr>
        <w:tc>
          <w:tcPr>
            <w:tcW w:w="32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per share of common stock — basic</w:t>
            </w: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(0.10)</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13"/>
                <w:szCs w:val="13"/>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21"/>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740" w:type="dxa"/>
            <w:vAlign w:val="bottom"/>
            <w:tcBorders>
              <w:bottom w:val="single" w:sz="8" w:color="auto"/>
            </w:tcBorders>
            <w:vMerge w:val="continue"/>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F-35</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Corrected Condensed Consolidated</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 and</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previously</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previously</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(Unaudited)</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reported</w:t>
            </w: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9"/>
              </w:rPr>
              <w:t>Adjustment</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 Restated</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reported</w:t>
            </w: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9"/>
              </w:rPr>
              <w:t>Adjustment</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Restated</w:t>
            </w: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Collaborative arrangement revenue</w:t>
            </w: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20,995</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20,754</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41,749</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(40,606)</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5"/>
        </w:trPr>
        <w:tc>
          <w:tcPr>
            <w:tcW w:w="32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(loss) on marketable</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(39,427)</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used in calculating net loss per</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 — 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231,952,888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231,952,888</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210,806,330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210,806,330</w:t>
            </w:r>
          </w:p>
        </w:tc>
        <w:tc>
          <w:tcPr>
            <w:tcW w:w="0" w:type="dxa"/>
            <w:vAlign w:val="bottom"/>
          </w:tcPr>
          <w:p>
            <w:pPr>
              <w:spacing w:after="0"/>
              <w:rPr>
                <w:sz w:val="1"/>
                <w:szCs w:val="1"/>
                <w:color w:val="auto"/>
              </w:rPr>
            </w:pPr>
          </w:p>
        </w:tc>
      </w:tr>
      <w:tr>
        <w:trPr>
          <w:trHeight w:val="155"/>
        </w:trPr>
        <w:tc>
          <w:tcPr>
            <w:tcW w:w="32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per share of common stock — basic</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3"/>
                <w:szCs w:val="13"/>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21"/>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7"/>
        </w:trPr>
        <w:tc>
          <w:tcPr>
            <w:tcW w:w="1280" w:type="dxa"/>
            <w:vAlign w:val="bottom"/>
            <w:tcBorders>
              <w:top w:val="single" w:sz="8" w:color="0000FF"/>
            </w:tcBorders>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Corrected Condensed Consolidated</w:t>
            </w:r>
          </w:p>
        </w:tc>
        <w:tc>
          <w:tcPr>
            <w:tcW w:w="1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2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As previously</w:t>
            </w: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As previously</w:t>
            </w: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Statements of Operations and</w:t>
            </w:r>
          </w:p>
        </w:tc>
        <w:tc>
          <w:tcPr>
            <w:tcW w:w="1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(Unaudited)</w:t>
            </w:r>
          </w:p>
        </w:tc>
        <w:tc>
          <w:tcPr>
            <w:tcW w:w="180" w:type="dxa"/>
            <w:vAlign w:val="bottom"/>
          </w:tcPr>
          <w:p>
            <w:pPr>
              <w:spacing w:after="0"/>
              <w:rPr>
                <w:sz w:val="21"/>
                <w:szCs w:val="21"/>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reported</w:t>
            </w: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9"/>
              </w:rPr>
              <w:t>Adjustment</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 Restated</w:t>
            </w:r>
          </w:p>
        </w:tc>
        <w:tc>
          <w:tcPr>
            <w:tcW w:w="180" w:type="dxa"/>
            <w:vAlign w:val="bottom"/>
          </w:tcPr>
          <w:p>
            <w:pPr>
              <w:spacing w:after="0"/>
              <w:rPr>
                <w:sz w:val="21"/>
                <w:szCs w:val="21"/>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reported</w:t>
            </w: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9"/>
              </w:rPr>
              <w:t>Adjustment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As Restated</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Collaborative arrangement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0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17,937</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25,576</w:t>
            </w: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(25,110)</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(23,913)</w:t>
            </w:r>
          </w:p>
        </w:tc>
        <w:tc>
          <w:tcPr>
            <w:tcW w:w="0" w:type="dxa"/>
            <w:vAlign w:val="bottom"/>
          </w:tcPr>
          <w:p>
            <w:pPr>
              <w:spacing w:after="0"/>
              <w:rPr>
                <w:sz w:val="1"/>
                <w:szCs w:val="1"/>
                <w:color w:val="auto"/>
              </w:rPr>
            </w:pPr>
          </w:p>
        </w:tc>
      </w:tr>
      <w:tr>
        <w:trPr>
          <w:trHeight w:val="20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5"/>
        </w:trPr>
        <w:tc>
          <w:tcPr>
            <w:tcW w:w="32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(loss) on marketable</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(21,902)</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(23,893)</w:t>
            </w: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2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used in calculating net loss per</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 — basic and diluted</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256,492,558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256,492,558</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216,591,011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216,591,011</w:t>
            </w:r>
          </w:p>
        </w:tc>
        <w:tc>
          <w:tcPr>
            <w:tcW w:w="0" w:type="dxa"/>
            <w:vAlign w:val="bottom"/>
          </w:tcPr>
          <w:p>
            <w:pPr>
              <w:spacing w:after="0"/>
              <w:rPr>
                <w:sz w:val="1"/>
                <w:szCs w:val="1"/>
                <w:color w:val="auto"/>
              </w:rPr>
            </w:pPr>
          </w:p>
        </w:tc>
      </w:tr>
      <w:tr>
        <w:trPr>
          <w:trHeight w:val="156"/>
        </w:trPr>
        <w:tc>
          <w:tcPr>
            <w:tcW w:w="32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per share of common stock — basic</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858"/>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F-37</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Corrected Condensed Consolidated</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 and</w:t>
            </w:r>
          </w:p>
        </w:tc>
        <w:tc>
          <w:tcPr>
            <w:tcW w:w="18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As previously</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As previously</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(Unaudited)</w:t>
            </w:r>
          </w:p>
        </w:tc>
        <w:tc>
          <w:tcPr>
            <w:tcW w:w="180" w:type="dxa"/>
            <w:vAlign w:val="bottom"/>
          </w:tcPr>
          <w:p>
            <w:pPr>
              <w:spacing w:after="0"/>
              <w:rPr>
                <w:sz w:val="21"/>
                <w:szCs w:val="21"/>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reported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Adjustment</w:t>
            </w:r>
          </w:p>
        </w:tc>
        <w:tc>
          <w:tcPr>
            <w:tcW w:w="560" w:type="dxa"/>
            <w:vAlign w:val="bottom"/>
          </w:tcPr>
          <w:p>
            <w:pPr>
              <w:spacing w:after="0"/>
              <w:rPr>
                <w:sz w:val="21"/>
                <w:szCs w:val="21"/>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As Restated</w:t>
            </w:r>
          </w:p>
        </w:tc>
        <w:tc>
          <w:tcPr>
            <w:tcW w:w="200" w:type="dxa"/>
            <w:vAlign w:val="bottom"/>
          </w:tcPr>
          <w:p>
            <w:pPr>
              <w:spacing w:after="0"/>
              <w:rPr>
                <w:sz w:val="21"/>
                <w:szCs w:val="21"/>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reported</w:t>
            </w: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9"/>
              </w:rPr>
              <w:t>Adjustment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As Restated</w:t>
            </w:r>
          </w:p>
        </w:tc>
        <w:tc>
          <w:tcPr>
            <w:tcW w:w="0" w:type="dxa"/>
            <w:vAlign w:val="bottom"/>
          </w:tcPr>
          <w:p>
            <w:pPr>
              <w:spacing w:after="0"/>
              <w:rPr>
                <w:sz w:val="1"/>
                <w:szCs w:val="1"/>
                <w:color w:val="auto"/>
              </w:rPr>
            </w:pPr>
          </w:p>
        </w:tc>
      </w:tr>
      <w:tr>
        <w:trPr>
          <w:trHeight w:val="223"/>
        </w:trPr>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Collaborative arrangement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30,069</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38,932</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26,839</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28,393</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56,908</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60,718</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67,325</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(56,908)</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(65,716)</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(1,425)</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(53,585)</w:t>
            </w:r>
          </w:p>
        </w:tc>
        <w:tc>
          <w:tcPr>
            <w:tcW w:w="8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(64,410)</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75"/>
        </w:trPr>
        <w:tc>
          <w:tcPr>
            <w:tcW w:w="32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(loss) on marketable</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(53,584)</w:t>
            </w:r>
          </w:p>
        </w:tc>
        <w:tc>
          <w:tcPr>
            <w:tcW w:w="8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(64,380)</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used in calculating net loss per</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 — basic and diluted</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240,222,667</w:t>
            </w:r>
          </w:p>
        </w:tc>
        <w:tc>
          <w:tcPr>
            <w:tcW w:w="8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240,222,667</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212,755,746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212,755,746</w:t>
            </w:r>
          </w:p>
        </w:tc>
        <w:tc>
          <w:tcPr>
            <w:tcW w:w="0" w:type="dxa"/>
            <w:vAlign w:val="bottom"/>
          </w:tcPr>
          <w:p>
            <w:pPr>
              <w:spacing w:after="0"/>
              <w:rPr>
                <w:sz w:val="1"/>
                <w:szCs w:val="1"/>
                <w:color w:val="auto"/>
              </w:rPr>
            </w:pPr>
          </w:p>
        </w:tc>
      </w:tr>
      <w:tr>
        <w:trPr>
          <w:trHeight w:val="155"/>
        </w:trPr>
        <w:tc>
          <w:tcPr>
            <w:tcW w:w="32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per share of common stock — basic</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8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18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gridSpan w:val="11"/>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2022</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980" w:type="dxa"/>
            <w:vAlign w:val="bottom"/>
            <w:gridSpan w:val="3"/>
          </w:tcPr>
          <w:p>
            <w:pPr>
              <w:jc w:val="center"/>
              <w:ind w:left="128"/>
              <w:spacing w:after="0" w:line="158"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ind w:left="128"/>
              <w:spacing w:after="0" w:line="158"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980" w:type="dxa"/>
            <w:vAlign w:val="bottom"/>
            <w:gridSpan w:val="3"/>
          </w:tcPr>
          <w:p>
            <w:pPr>
              <w:jc w:val="center"/>
              <w:ind w:left="128"/>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left="168"/>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1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4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Corrected Condensed Consolidated</w:t>
            </w:r>
          </w:p>
        </w:tc>
        <w:tc>
          <w:tcPr>
            <w:tcW w:w="5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9"/>
                <w:szCs w:val="9"/>
                <w:color w:val="auto"/>
              </w:rPr>
            </w:pPr>
          </w:p>
        </w:tc>
        <w:tc>
          <w:tcPr>
            <w:tcW w:w="104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 of Stockholders' equity</w:t>
            </w: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8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vMerge w:val="continue"/>
          </w:tcPr>
          <w:p>
            <w:pPr>
              <w:spacing w:after="0"/>
              <w:rPr>
                <w:sz w:val="12"/>
                <w:szCs w:val="12"/>
                <w:color w:val="auto"/>
              </w:rPr>
            </w:pP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11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0" w:type="dxa"/>
            <w:vAlign w:val="bottom"/>
            <w:gridSpan w:val="2"/>
            <w:vMerge w:val="continue"/>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 (As</w:t>
            </w: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199,502,183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225,537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(131,667)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95,818</w:t>
            </w:r>
          </w:p>
        </w:tc>
        <w:tc>
          <w:tcPr>
            <w:tcW w:w="0" w:type="dxa"/>
            <w:vAlign w:val="bottom"/>
          </w:tcPr>
          <w:p>
            <w:pPr>
              <w:spacing w:after="0"/>
              <w:rPr>
                <w:sz w:val="1"/>
                <w:szCs w:val="1"/>
                <w:color w:val="auto"/>
              </w:rPr>
            </w:pPr>
          </w:p>
        </w:tc>
      </w:tr>
      <w:tr>
        <w:trPr>
          <w:trHeight w:val="20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stock</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exercises and restricted stock unit</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net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277,323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capital</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raises, net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15,973,420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49,851</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(18,019)</w:t>
            </w:r>
          </w:p>
        </w:tc>
        <w:tc>
          <w:tcPr>
            <w:tcW w:w="0" w:type="dxa"/>
            <w:vAlign w:val="bottom"/>
          </w:tcPr>
          <w:p>
            <w:pPr>
              <w:spacing w:after="0"/>
              <w:rPr>
                <w:sz w:val="1"/>
                <w:szCs w:val="1"/>
                <w:color w:val="auto"/>
              </w:rPr>
            </w:pPr>
          </w:p>
        </w:tc>
      </w:tr>
      <w:tr>
        <w:trPr>
          <w:trHeight w:val="158"/>
        </w:trPr>
        <w:tc>
          <w:tcPr>
            <w:tcW w:w="242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Balance March 31, 2022 (As</w:t>
            </w: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215,752,926</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278,704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(149,686)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131,129</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0" w:type="dxa"/>
            <w:vAlign w:val="bottom"/>
          </w:tcPr>
          <w:p>
            <w:pPr>
              <w:spacing w:after="0"/>
              <w:rPr>
                <w:sz w:val="1"/>
                <w:szCs w:val="1"/>
                <w:color w:val="auto"/>
              </w:rPr>
            </w:pP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stock</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 exercises and restricted stock unit</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net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515,221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convertible preferred stock</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(19,471)</w:t>
            </w:r>
          </w:p>
        </w:tc>
        <w:tc>
          <w:tcPr>
            <w:tcW w:w="0" w:type="dxa"/>
            <w:vAlign w:val="bottom"/>
          </w:tcPr>
          <w:p>
            <w:pPr>
              <w:spacing w:after="0"/>
              <w:rPr>
                <w:sz w:val="1"/>
                <w:szCs w:val="1"/>
                <w:color w:val="auto"/>
              </w:rPr>
            </w:pPr>
          </w:p>
        </w:tc>
      </w:tr>
      <w:tr>
        <w:trPr>
          <w:trHeight w:val="18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2022 (As Reported)</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tcPr>
          <w:p>
            <w:pPr>
              <w:spacing w:after="0"/>
              <w:rPr>
                <w:sz w:val="16"/>
                <w:szCs w:val="16"/>
                <w:color w:val="auto"/>
              </w:rPr>
            </w:pPr>
          </w:p>
        </w:tc>
        <w:tc>
          <w:tcPr>
            <w:tcW w:w="3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216,271,262</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281,139</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(169,157)</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114,108</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0" w:type="dxa"/>
            <w:vAlign w:val="bottom"/>
          </w:tcPr>
          <w:p>
            <w:pPr>
              <w:spacing w:after="0"/>
              <w:rPr>
                <w:sz w:val="1"/>
                <w:szCs w:val="1"/>
                <w:color w:val="auto"/>
              </w:rPr>
            </w:pP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stock</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 exercises and restricted stock unit</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net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538,675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(21,922)</w:t>
            </w:r>
          </w:p>
        </w:tc>
        <w:tc>
          <w:tcPr>
            <w:tcW w:w="0" w:type="dxa"/>
            <w:vAlign w:val="bottom"/>
          </w:tcPr>
          <w:p>
            <w:pPr>
              <w:spacing w:after="0"/>
              <w:rPr>
                <w:sz w:val="1"/>
                <w:szCs w:val="1"/>
                <w:color w:val="auto"/>
              </w:rPr>
            </w:pPr>
          </w:p>
        </w:tc>
      </w:tr>
      <w:tr>
        <w:trPr>
          <w:trHeight w:val="23"/>
        </w:trPr>
        <w:tc>
          <w:tcPr>
            <w:tcW w:w="24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Balance September 30, 2022 (As</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216,809,937</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284,231</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(191,079)</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95,303</w:t>
            </w:r>
          </w:p>
        </w:tc>
        <w:tc>
          <w:tcPr>
            <w:tcW w:w="0" w:type="dxa"/>
            <w:vAlign w:val="bottom"/>
          </w:tcPr>
          <w:p>
            <w:pPr>
              <w:spacing w:after="0"/>
              <w:rPr>
                <w:sz w:val="1"/>
                <w:szCs w:val="1"/>
                <w:color w:val="auto"/>
              </w:rPr>
            </w:pPr>
          </w:p>
        </w:tc>
      </w:tr>
      <w:tr>
        <w:trPr>
          <w:trHeight w:val="21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600" w:type="dxa"/>
            <w:vAlign w:val="bottom"/>
            <w:gridSpan w:val="2"/>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80" w:type="dxa"/>
            <w:vAlign w:val="bottom"/>
            <w:gridSpan w:val="10"/>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2022</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1360" w:type="dxa"/>
            <w:vAlign w:val="bottom"/>
            <w:gridSpan w:val="4"/>
          </w:tcPr>
          <w:p>
            <w:pPr>
              <w:ind w:left="380"/>
              <w:spacing w:after="0" w:line="158"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340" w:type="dxa"/>
            <w:vAlign w:val="bottom"/>
            <w:gridSpan w:val="4"/>
          </w:tcPr>
          <w:p>
            <w:pPr>
              <w:ind w:left="380"/>
              <w:spacing w:after="0" w:line="158"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1360" w:type="dxa"/>
            <w:vAlign w:val="bottom"/>
            <w:gridSpan w:val="4"/>
          </w:tcPr>
          <w:p>
            <w:pPr>
              <w:ind w:left="280"/>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340" w:type="dxa"/>
            <w:vAlign w:val="bottom"/>
            <w:gridSpan w:val="4"/>
          </w:tcPr>
          <w:p>
            <w:pPr>
              <w:ind w:left="260"/>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3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13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00" w:type="dxa"/>
            <w:vAlign w:val="bottom"/>
            <w:gridSpan w:val="4"/>
            <w:vMerge w:val="continue"/>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w:t>
            </w:r>
          </w:p>
        </w:tc>
        <w:tc>
          <w:tcPr>
            <w:tcW w:w="5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7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 (Unaudited)</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6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700" w:type="dxa"/>
            <w:vAlign w:val="bottom"/>
            <w:vMerge w:val="continue"/>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6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(4,618)</w:t>
            </w:r>
          </w:p>
        </w:tc>
        <w:tc>
          <w:tcPr>
            <w:tcW w:w="0" w:type="dxa"/>
            <w:vAlign w:val="bottom"/>
          </w:tcPr>
          <w:p>
            <w:pPr>
              <w:spacing w:after="0"/>
              <w:rPr>
                <w:sz w:val="1"/>
                <w:szCs w:val="1"/>
                <w:color w:val="auto"/>
              </w:rPr>
            </w:pPr>
          </w:p>
        </w:tc>
      </w:tr>
      <w:tr>
        <w:trPr>
          <w:trHeight w:val="20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0" w:type="dxa"/>
            <w:vAlign w:val="bottom"/>
          </w:tcPr>
          <w:p>
            <w:pPr>
              <w:spacing w:after="0"/>
              <w:rPr>
                <w:sz w:val="1"/>
                <w:szCs w:val="1"/>
                <w:color w:val="auto"/>
              </w:rPr>
            </w:pPr>
          </w:p>
        </w:tc>
      </w:tr>
      <w:tr>
        <w:trPr>
          <w:trHeight w:val="23"/>
        </w:trPr>
        <w:tc>
          <w:tcPr>
            <w:tcW w:w="27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2022 (Adjustment)</w:t>
            </w: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(5,614)</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23"/>
        </w:trPr>
        <w:tc>
          <w:tcPr>
            <w:tcW w:w="27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2022 (Adjustment)</w:t>
            </w: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(7,625)</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0" w:type="dxa"/>
            <w:vAlign w:val="bottom"/>
          </w:tcPr>
          <w:p>
            <w:pPr>
              <w:spacing w:after="0"/>
              <w:rPr>
                <w:sz w:val="1"/>
                <w:szCs w:val="1"/>
                <w:color w:val="auto"/>
              </w:rPr>
            </w:pPr>
          </w:p>
        </w:tc>
      </w:tr>
      <w:tr>
        <w:trPr>
          <w:trHeight w:val="23"/>
        </w:trPr>
        <w:tc>
          <w:tcPr>
            <w:tcW w:w="27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7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(9,616)</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(9,616)</w:t>
            </w:r>
          </w:p>
        </w:tc>
        <w:tc>
          <w:tcPr>
            <w:tcW w:w="0" w:type="dxa"/>
            <w:vAlign w:val="bottom"/>
          </w:tcPr>
          <w:p>
            <w:pPr>
              <w:spacing w:after="0"/>
              <w:rPr>
                <w:sz w:val="1"/>
                <w:szCs w:val="1"/>
                <w:color w:val="auto"/>
              </w:rPr>
            </w:pPr>
          </w:p>
        </w:tc>
      </w:tr>
      <w:tr>
        <w:trPr>
          <w:trHeight w:val="21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66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40" w:type="dxa"/>
            <w:vAlign w:val="bottom"/>
            <w:gridSpan w:val="11"/>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2022</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380" w:type="dxa"/>
            <w:vAlign w:val="bottom"/>
          </w:tcPr>
          <w:p>
            <w:pPr>
              <w:spacing w:after="0"/>
              <w:rPr>
                <w:sz w:val="13"/>
                <w:szCs w:val="13"/>
                <w:color w:val="auto"/>
              </w:rPr>
            </w:pPr>
          </w:p>
        </w:tc>
        <w:tc>
          <w:tcPr>
            <w:tcW w:w="980" w:type="dxa"/>
            <w:vAlign w:val="bottom"/>
            <w:gridSpan w:val="3"/>
          </w:tcPr>
          <w:p>
            <w:pPr>
              <w:jc w:val="center"/>
              <w:ind w:left="148"/>
              <w:spacing w:after="0" w:line="158"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left="188"/>
              <w:spacing w:after="0" w:line="158"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980" w:type="dxa"/>
            <w:vAlign w:val="bottom"/>
            <w:gridSpan w:val="3"/>
          </w:tcPr>
          <w:p>
            <w:pPr>
              <w:jc w:val="center"/>
              <w:ind w:left="148"/>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left="188"/>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2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8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Corrected Condensed Consolidated</w:t>
            </w:r>
          </w:p>
        </w:tc>
        <w:tc>
          <w:tcPr>
            <w:tcW w:w="5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3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3"/>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8"/>
                <w:szCs w:val="8"/>
                <w:color w:val="auto"/>
              </w:rPr>
            </w:pPr>
          </w:p>
        </w:tc>
        <w:tc>
          <w:tcPr>
            <w:tcW w:w="104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 of Stockholders' equity</w:t>
            </w: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380" w:type="dxa"/>
            <w:vAlign w:val="bottom"/>
            <w:vMerge w:val="continue"/>
          </w:tcPr>
          <w:p>
            <w:pPr>
              <w:spacing w:after="0"/>
              <w:rPr>
                <w:sz w:val="12"/>
                <w:szCs w:val="12"/>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11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 (As</w:t>
            </w: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199,502,183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225,537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(136,285)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91,200</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stock</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exercises and restricted stock</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 vesting, net</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277,323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8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capital</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raises, net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15,973,420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49,851</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(19,015)</w:t>
            </w:r>
          </w:p>
        </w:tc>
        <w:tc>
          <w:tcPr>
            <w:tcW w:w="0" w:type="dxa"/>
            <w:vAlign w:val="bottom"/>
          </w:tcPr>
          <w:p>
            <w:pPr>
              <w:spacing w:after="0"/>
              <w:rPr>
                <w:sz w:val="1"/>
                <w:szCs w:val="1"/>
                <w:color w:val="auto"/>
              </w:rPr>
            </w:pPr>
          </w:p>
        </w:tc>
      </w:tr>
      <w:tr>
        <w:trPr>
          <w:trHeight w:val="158"/>
        </w:trPr>
        <w:tc>
          <w:tcPr>
            <w:tcW w:w="238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Balance March 31, 2022 (As</w:t>
            </w: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215,752,926</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278,704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125,515</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0" w:type="dxa"/>
            <w:vAlign w:val="bottom"/>
          </w:tcPr>
          <w:p>
            <w:pPr>
              <w:spacing w:after="0"/>
              <w:rPr>
                <w:sz w:val="1"/>
                <w:szCs w:val="1"/>
                <w:color w:val="auto"/>
              </w:rPr>
            </w:pPr>
          </w:p>
        </w:tc>
      </w:tr>
      <w:tr>
        <w:trPr>
          <w:trHeight w:val="18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stock</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 exercises and restricted stock</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 vesting, net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515,221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convertible preferred stock</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(21,482)</w:t>
            </w:r>
          </w:p>
        </w:tc>
        <w:tc>
          <w:tcPr>
            <w:tcW w:w="0" w:type="dxa"/>
            <w:vAlign w:val="bottom"/>
          </w:tcPr>
          <w:p>
            <w:pPr>
              <w:spacing w:after="0"/>
              <w:rPr>
                <w:sz w:val="1"/>
                <w:szCs w:val="1"/>
                <w:color w:val="auto"/>
              </w:rPr>
            </w:pPr>
          </w:p>
        </w:tc>
      </w:tr>
      <w:tr>
        <w:trPr>
          <w:trHeight w:val="18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2022 (As Restated)</w:t>
            </w:r>
          </w:p>
        </w:tc>
        <w:tc>
          <w:tcPr>
            <w:tcW w:w="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216,271,262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281,139</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(176,782)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106,483</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0" w:type="dxa"/>
            <w:vAlign w:val="bottom"/>
          </w:tcPr>
          <w:p>
            <w:pPr>
              <w:spacing w:after="0"/>
              <w:rPr>
                <w:sz w:val="1"/>
                <w:szCs w:val="1"/>
                <w:color w:val="auto"/>
              </w:rPr>
            </w:pPr>
          </w:p>
        </w:tc>
      </w:tr>
      <w:tr>
        <w:trPr>
          <w:trHeight w:val="18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stock</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 exercises and restricted stock</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 vesting, net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538,675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(23,913)</w:t>
            </w:r>
          </w:p>
        </w:tc>
        <w:tc>
          <w:tcPr>
            <w:tcW w:w="0" w:type="dxa"/>
            <w:vAlign w:val="bottom"/>
          </w:tcPr>
          <w:p>
            <w:pPr>
              <w:spacing w:after="0"/>
              <w:rPr>
                <w:sz w:val="1"/>
                <w:szCs w:val="1"/>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Balance September 30, 2022 (As</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216,809,937</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284,231</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(200,695)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85,687</w:t>
            </w:r>
          </w:p>
        </w:tc>
        <w:tc>
          <w:tcPr>
            <w:tcW w:w="0" w:type="dxa"/>
            <w:vAlign w:val="bottom"/>
          </w:tcPr>
          <w:p>
            <w:pPr>
              <w:spacing w:after="0"/>
              <w:rPr>
                <w:sz w:val="1"/>
                <w:szCs w:val="1"/>
                <w:color w:val="auto"/>
              </w:rPr>
            </w:pPr>
          </w:p>
        </w:tc>
      </w:tr>
      <w:tr>
        <w:trPr>
          <w:trHeight w:val="21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62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gridSpan w:val="11"/>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2023</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1000" w:type="dxa"/>
            <w:vAlign w:val="bottom"/>
            <w:gridSpan w:val="3"/>
          </w:tcPr>
          <w:p>
            <w:pPr>
              <w:ind w:left="360"/>
              <w:spacing w:after="0" w:line="158"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left="108"/>
              <w:spacing w:after="0" w:line="158"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1000" w:type="dxa"/>
            <w:vAlign w:val="bottom"/>
            <w:gridSpan w:val="3"/>
          </w:tcPr>
          <w:p>
            <w:pPr>
              <w:ind w:left="260"/>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left="168"/>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13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4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Corrected Condensed Consolidated</w:t>
            </w:r>
          </w:p>
        </w:tc>
        <w:tc>
          <w:tcPr>
            <w:tcW w:w="5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9"/>
                <w:szCs w:val="9"/>
                <w:color w:val="auto"/>
              </w:rPr>
            </w:pPr>
          </w:p>
        </w:tc>
        <w:tc>
          <w:tcPr>
            <w:tcW w:w="104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 of Stockholders' equity</w:t>
            </w: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88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vMerge w:val="continue"/>
          </w:tcPr>
          <w:p>
            <w:pPr>
              <w:spacing w:after="0"/>
              <w:rPr>
                <w:sz w:val="12"/>
                <w:szCs w:val="12"/>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1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gridSpan w:val="2"/>
            <w:vMerge w:val="continue"/>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 (As</w:t>
            </w:r>
          </w:p>
        </w:tc>
        <w:tc>
          <w:tcPr>
            <w:tcW w:w="5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221,721,182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294,874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(213,018)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84,052</w:t>
            </w:r>
          </w:p>
        </w:tc>
        <w:tc>
          <w:tcPr>
            <w:tcW w:w="0" w:type="dxa"/>
            <w:vAlign w:val="bottom"/>
          </w:tcPr>
          <w:p>
            <w:pPr>
              <w:spacing w:after="0"/>
              <w:rPr>
                <w:sz w:val="1"/>
                <w:szCs w:val="1"/>
                <w:color w:val="auto"/>
              </w:rPr>
            </w:pPr>
          </w:p>
        </w:tc>
      </w:tr>
      <w:tr>
        <w:trPr>
          <w:trHeight w:val="207"/>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stock</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348,555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exercises and restricted stock unit</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net</w:t>
            </w: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capital</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4,478,956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raises, net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(16,498)</w:t>
            </w:r>
          </w:p>
        </w:tc>
        <w:tc>
          <w:tcPr>
            <w:tcW w:w="0" w:type="dxa"/>
            <w:vAlign w:val="bottom"/>
          </w:tcPr>
          <w:p>
            <w:pPr>
              <w:spacing w:after="0"/>
              <w:rPr>
                <w:sz w:val="1"/>
                <w:szCs w:val="1"/>
                <w:color w:val="auto"/>
              </w:rPr>
            </w:pPr>
          </w:p>
        </w:tc>
      </w:tr>
      <w:tr>
        <w:trPr>
          <w:trHeight w:val="37"/>
        </w:trPr>
        <w:tc>
          <w:tcPr>
            <w:tcW w:w="242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2023 (As Reported)</w:t>
            </w:r>
          </w:p>
        </w:tc>
        <w:tc>
          <w:tcPr>
            <w:tcW w:w="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226,548,693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303,073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(229,516)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75,800</w:t>
            </w:r>
          </w:p>
        </w:tc>
        <w:tc>
          <w:tcPr>
            <w:tcW w:w="0" w:type="dxa"/>
            <w:vAlign w:val="bottom"/>
          </w:tcPr>
          <w:p>
            <w:pPr>
              <w:spacing w:after="0"/>
              <w:rPr>
                <w:sz w:val="1"/>
                <w:szCs w:val="1"/>
                <w:color w:val="auto"/>
              </w:rPr>
            </w:pPr>
          </w:p>
        </w:tc>
      </w:tr>
      <w:tr>
        <w:trPr>
          <w:trHeight w:val="19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stock</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59,859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exercises and restricted stock unit</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net</w:t>
            </w: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capital</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14,767</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raises, net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(22,925)</w:t>
            </w:r>
          </w:p>
        </w:tc>
        <w:tc>
          <w:tcPr>
            <w:tcW w:w="0" w:type="dxa"/>
            <w:vAlign w:val="bottom"/>
          </w:tcPr>
          <w:p>
            <w:pPr>
              <w:spacing w:after="0"/>
              <w:rPr>
                <w:sz w:val="1"/>
                <w:szCs w:val="1"/>
                <w:color w:val="auto"/>
              </w:rPr>
            </w:pPr>
          </w:p>
        </w:tc>
      </w:tr>
      <w:tr>
        <w:trPr>
          <w:trHeight w:val="37"/>
        </w:trPr>
        <w:tc>
          <w:tcPr>
            <w:tcW w:w="242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 (As Reported)</w:t>
            </w:r>
          </w:p>
        </w:tc>
        <w:tc>
          <w:tcPr>
            <w:tcW w:w="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256,608,552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320,181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(252,441)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70,281</w:t>
            </w:r>
          </w:p>
        </w:tc>
        <w:tc>
          <w:tcPr>
            <w:tcW w:w="0" w:type="dxa"/>
            <w:vAlign w:val="bottom"/>
          </w:tcPr>
          <w:p>
            <w:pPr>
              <w:spacing w:after="0"/>
              <w:rPr>
                <w:sz w:val="1"/>
                <w:szCs w:val="1"/>
                <w:color w:val="auto"/>
              </w:rPr>
            </w:pPr>
          </w:p>
        </w:tc>
      </w:tr>
      <w:tr>
        <w:trPr>
          <w:trHeight w:val="19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stock</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exercises and restricted stock unit</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net</w:t>
            </w: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(14,162)</w:t>
            </w:r>
          </w:p>
        </w:tc>
        <w:tc>
          <w:tcPr>
            <w:tcW w:w="0" w:type="dxa"/>
            <w:vAlign w:val="bottom"/>
          </w:tcPr>
          <w:p>
            <w:pPr>
              <w:spacing w:after="0"/>
              <w:rPr>
                <w:sz w:val="1"/>
                <w:szCs w:val="1"/>
                <w:color w:val="auto"/>
              </w:rPr>
            </w:pPr>
          </w:p>
        </w:tc>
      </w:tr>
      <w:tr>
        <w:trPr>
          <w:trHeight w:val="158"/>
        </w:trPr>
        <w:tc>
          <w:tcPr>
            <w:tcW w:w="242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Balance September 30, 2023 (As</w:t>
            </w:r>
          </w:p>
        </w:tc>
        <w:tc>
          <w:tcPr>
            <w:tcW w:w="560" w:type="dxa"/>
            <w:vAlign w:val="bottom"/>
            <w:tcBorders>
              <w:top w:val="single" w:sz="8" w:color="auto"/>
            </w:tcBorders>
          </w:tcPr>
          <w:p>
            <w:pPr>
              <w:ind w:left="36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360" w:type="dxa"/>
            <w:vAlign w:val="bottom"/>
            <w:tcBorders>
              <w:top w:val="single" w:sz="8" w:color="auto"/>
            </w:tcBorders>
          </w:tcPr>
          <w:p>
            <w:pPr>
              <w:jc w:val="right"/>
              <w:ind w:right="208"/>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54,745</w:t>
            </w:r>
          </w:p>
        </w:tc>
        <w:tc>
          <w:tcPr>
            <w:tcW w:w="80" w:type="dxa"/>
            <w:vAlign w:val="bottom"/>
          </w:tcPr>
          <w:p>
            <w:pPr>
              <w:spacing w:after="0"/>
              <w:rPr>
                <w:sz w:val="13"/>
                <w:szCs w:val="13"/>
                <w:color w:val="auto"/>
              </w:rPr>
            </w:pPr>
          </w:p>
        </w:tc>
        <w:tc>
          <w:tcPr>
            <w:tcW w:w="360" w:type="dxa"/>
            <w:vAlign w:val="bottom"/>
            <w:tcBorders>
              <w:top w:val="single" w:sz="8" w:color="auto"/>
            </w:tcBorders>
          </w:tcPr>
          <w:p>
            <w:pPr>
              <w:jc w:val="right"/>
              <w:ind w:right="188"/>
              <w:spacing w:after="0" w:line="15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3"/>
                <w:szCs w:val="13"/>
                <w:color w:val="auto"/>
              </w:rPr>
            </w:pPr>
          </w:p>
        </w:tc>
        <w:tc>
          <w:tcPr>
            <w:tcW w:w="8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256,621,487</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2,566</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jc w:val="center"/>
              <w:ind w:left="148"/>
              <w:spacing w:after="0" w:line="158" w:lineRule="exact"/>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322,452</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(266,603)</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58,395</w:t>
            </w:r>
          </w:p>
        </w:tc>
        <w:tc>
          <w:tcPr>
            <w:tcW w:w="0" w:type="dxa"/>
            <w:vAlign w:val="bottom"/>
          </w:tcPr>
          <w:p>
            <w:pPr>
              <w:spacing w:after="0"/>
              <w:rPr>
                <w:sz w:val="1"/>
                <w:szCs w:val="1"/>
                <w:color w:val="auto"/>
              </w:rPr>
            </w:pPr>
          </w:p>
        </w:tc>
      </w:tr>
      <w:tr>
        <w:trPr>
          <w:trHeight w:val="19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80" w:type="dxa"/>
            <w:vAlign w:val="bottom"/>
            <w:gridSpan w:val="10"/>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2023</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1340" w:type="dxa"/>
            <w:vAlign w:val="bottom"/>
            <w:gridSpan w:val="4"/>
          </w:tcPr>
          <w:p>
            <w:pPr>
              <w:ind w:left="380"/>
              <w:spacing w:after="0" w:line="158"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340" w:type="dxa"/>
            <w:vAlign w:val="bottom"/>
            <w:gridSpan w:val="4"/>
          </w:tcPr>
          <w:p>
            <w:pPr>
              <w:ind w:left="380"/>
              <w:spacing w:after="0" w:line="158"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1340" w:type="dxa"/>
            <w:vAlign w:val="bottom"/>
            <w:gridSpan w:val="4"/>
          </w:tcPr>
          <w:p>
            <w:pPr>
              <w:ind w:left="260"/>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340" w:type="dxa"/>
            <w:vAlign w:val="bottom"/>
            <w:gridSpan w:val="4"/>
          </w:tcPr>
          <w:p>
            <w:pPr>
              <w:ind w:left="260"/>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3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13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20" w:type="dxa"/>
            <w:vAlign w:val="bottom"/>
            <w:gridSpan w:val="4"/>
            <w:vMerge w:val="continue"/>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w:t>
            </w:r>
          </w:p>
        </w:tc>
        <w:tc>
          <w:tcPr>
            <w:tcW w:w="5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 (Unaudited)</w:t>
            </w: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2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0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700" w:type="dxa"/>
            <w:vAlign w:val="bottom"/>
            <w:vMerge w:val="continue"/>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 (Adjustment)</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(10,071)</w:t>
            </w:r>
          </w:p>
        </w:tc>
        <w:tc>
          <w:tcPr>
            <w:tcW w:w="0" w:type="dxa"/>
            <w:vAlign w:val="bottom"/>
          </w:tcPr>
          <w:p>
            <w:pPr>
              <w:spacing w:after="0"/>
              <w:rPr>
                <w:sz w:val="1"/>
                <w:szCs w:val="1"/>
                <w:color w:val="auto"/>
              </w:rPr>
            </w:pPr>
          </w:p>
        </w:tc>
      </w:tr>
      <w:tr>
        <w:trPr>
          <w:trHeight w:val="20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0" w:type="dxa"/>
            <w:vAlign w:val="bottom"/>
          </w:tcPr>
          <w:p>
            <w:pPr>
              <w:spacing w:after="0"/>
              <w:rPr>
                <w:sz w:val="1"/>
                <w:szCs w:val="1"/>
                <w:color w:val="auto"/>
              </w:rPr>
            </w:pPr>
          </w:p>
        </w:tc>
      </w:tr>
      <w:tr>
        <w:trPr>
          <w:trHeight w:val="23"/>
        </w:trPr>
        <w:tc>
          <w:tcPr>
            <w:tcW w:w="27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2023 (Adjustment)</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(10,899)</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56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3"/>
        </w:trPr>
        <w:tc>
          <w:tcPr>
            <w:tcW w:w="27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 (Adjustment)</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(11,039)</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56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2,445</w:t>
            </w:r>
          </w:p>
        </w:tc>
        <w:tc>
          <w:tcPr>
            <w:tcW w:w="0" w:type="dxa"/>
            <w:vAlign w:val="bottom"/>
          </w:tcPr>
          <w:p>
            <w:pPr>
              <w:spacing w:after="0"/>
              <w:rPr>
                <w:sz w:val="1"/>
                <w:szCs w:val="1"/>
                <w:color w:val="auto"/>
              </w:rPr>
            </w:pPr>
          </w:p>
        </w:tc>
      </w:tr>
      <w:tr>
        <w:trPr>
          <w:trHeight w:val="23"/>
        </w:trPr>
        <w:tc>
          <w:tcPr>
            <w:tcW w:w="27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7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6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(8,594)</w:t>
            </w:r>
          </w:p>
        </w:tc>
        <w:tc>
          <w:tcPr>
            <w:tcW w:w="0" w:type="dxa"/>
            <w:vAlign w:val="bottom"/>
          </w:tcPr>
          <w:p>
            <w:pPr>
              <w:spacing w:after="0"/>
              <w:rPr>
                <w:sz w:val="1"/>
                <w:szCs w:val="1"/>
                <w:color w:val="auto"/>
              </w:rPr>
            </w:pPr>
          </w:p>
        </w:tc>
      </w:tr>
      <w:tr>
        <w:trPr>
          <w:trHeight w:val="21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64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00" w:type="dxa"/>
            <w:vAlign w:val="bottom"/>
            <w:gridSpan w:val="11"/>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2023</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380" w:type="dxa"/>
            <w:vAlign w:val="bottom"/>
          </w:tcPr>
          <w:p>
            <w:pPr>
              <w:spacing w:after="0"/>
              <w:rPr>
                <w:sz w:val="13"/>
                <w:szCs w:val="13"/>
                <w:color w:val="auto"/>
              </w:rPr>
            </w:pPr>
          </w:p>
        </w:tc>
        <w:tc>
          <w:tcPr>
            <w:tcW w:w="980" w:type="dxa"/>
            <w:vAlign w:val="bottom"/>
            <w:gridSpan w:val="3"/>
          </w:tcPr>
          <w:p>
            <w:pPr>
              <w:jc w:val="center"/>
              <w:ind w:left="148"/>
              <w:spacing w:after="0" w:line="158"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ind w:left="208"/>
              <w:spacing w:after="0" w:line="158"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980" w:type="dxa"/>
            <w:vAlign w:val="bottom"/>
            <w:gridSpan w:val="3"/>
          </w:tcPr>
          <w:p>
            <w:pPr>
              <w:jc w:val="center"/>
              <w:ind w:left="148"/>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left="188"/>
              <w:spacing w:after="0" w:line="14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2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6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Corrected Condensed Consolidated</w:t>
            </w:r>
          </w:p>
        </w:tc>
        <w:tc>
          <w:tcPr>
            <w:tcW w:w="5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3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restart"/>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9"/>
                <w:szCs w:val="9"/>
                <w:color w:val="auto"/>
              </w:rPr>
            </w:pPr>
          </w:p>
        </w:tc>
        <w:tc>
          <w:tcPr>
            <w:tcW w:w="104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 of Stockholders' equity</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8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380" w:type="dxa"/>
            <w:vAlign w:val="bottom"/>
            <w:vMerge w:val="continue"/>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1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 (As</w:t>
            </w: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221,721,182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294,874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(223,089)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73,981</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stock</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exercises and restricted stock</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 vesting, net</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348,555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capital</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raises, net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4,478,956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(17,326)</w:t>
            </w:r>
          </w:p>
        </w:tc>
        <w:tc>
          <w:tcPr>
            <w:tcW w:w="0" w:type="dxa"/>
            <w:vAlign w:val="bottom"/>
          </w:tcPr>
          <w:p>
            <w:pPr>
              <w:spacing w:after="0"/>
              <w:rPr>
                <w:sz w:val="1"/>
                <w:szCs w:val="1"/>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Balance March 31, 2023 (As</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226,548,693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303,073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(240,415)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64,901</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stock</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exercises and restricted stock</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 vesting, net</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59,859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capital</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raises, net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14,767</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(23,065)</w:t>
            </w:r>
          </w:p>
        </w:tc>
        <w:tc>
          <w:tcPr>
            <w:tcW w:w="0" w:type="dxa"/>
            <w:vAlign w:val="bottom"/>
          </w:tcPr>
          <w:p>
            <w:pPr>
              <w:spacing w:after="0"/>
              <w:rPr>
                <w:sz w:val="1"/>
                <w:szCs w:val="1"/>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 (As Restated)</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256,608,552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320,181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(263,480)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59,242</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stock</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exercises and restricted stock</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 vesting, net</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(11,717)</w:t>
            </w:r>
          </w:p>
        </w:tc>
        <w:tc>
          <w:tcPr>
            <w:tcW w:w="0" w:type="dxa"/>
            <w:vAlign w:val="bottom"/>
          </w:tcPr>
          <w:p>
            <w:pPr>
              <w:spacing w:after="0"/>
              <w:rPr>
                <w:sz w:val="1"/>
                <w:szCs w:val="1"/>
                <w:color w:val="auto"/>
              </w:rPr>
            </w:pPr>
          </w:p>
        </w:tc>
      </w:tr>
      <w:tr>
        <w:trPr>
          <w:trHeight w:val="158"/>
        </w:trPr>
        <w:tc>
          <w:tcPr>
            <w:tcW w:w="238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Balance September 30, 2023 (As</w:t>
            </w:r>
          </w:p>
        </w:tc>
        <w:tc>
          <w:tcPr>
            <w:tcW w:w="54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3"/>
                <w:szCs w:val="13"/>
                <w:color w:val="auto"/>
              </w:rPr>
            </w:pPr>
          </w:p>
        </w:tc>
        <w:tc>
          <w:tcPr>
            <w:tcW w:w="36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3"/>
                <w:szCs w:val="13"/>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256,621,487</w:t>
            </w:r>
          </w:p>
        </w:tc>
        <w:tc>
          <w:tcPr>
            <w:tcW w:w="80" w:type="dxa"/>
            <w:vAlign w:val="bottom"/>
          </w:tcPr>
          <w:p>
            <w:pPr>
              <w:spacing w:after="0"/>
              <w:rPr>
                <w:sz w:val="13"/>
                <w:szCs w:val="13"/>
                <w:color w:val="auto"/>
              </w:rPr>
            </w:pPr>
          </w:p>
        </w:tc>
        <w:tc>
          <w:tcPr>
            <w:tcW w:w="1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vMerge w:val="restart"/>
          </w:tcPr>
          <w:p>
            <w:pPr>
              <w:jc w:val="center"/>
              <w:ind w:left="20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322,452</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(275,197)</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49,801</w:t>
            </w:r>
          </w:p>
        </w:tc>
        <w:tc>
          <w:tcPr>
            <w:tcW w:w="0" w:type="dxa"/>
            <w:vAlign w:val="bottom"/>
          </w:tcPr>
          <w:p>
            <w:pPr>
              <w:spacing w:after="0"/>
              <w:rPr>
                <w:sz w:val="1"/>
                <w:szCs w:val="1"/>
                <w:color w:val="auto"/>
              </w:rPr>
            </w:pPr>
          </w:p>
        </w:tc>
      </w:tr>
      <w:tr>
        <w:trPr>
          <w:trHeight w:val="20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5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3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gridSpan w:val="6"/>
          </w:tcPr>
          <w:p>
            <w:pPr>
              <w:jc w:val="right"/>
              <w:ind w:right="12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Corrected Consolidated Statements of Cash Flows (Unaudited)</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previously reported Adjustment</w:t>
            </w:r>
          </w:p>
        </w:tc>
        <w:tc>
          <w:tcPr>
            <w:tcW w:w="52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As Restated</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previously reported Adjustment</w:t>
            </w:r>
          </w:p>
        </w:tc>
        <w:tc>
          <w:tcPr>
            <w:tcW w:w="48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Restated</w:t>
            </w:r>
          </w:p>
        </w:tc>
        <w:tc>
          <w:tcPr>
            <w:tcW w:w="0" w:type="dxa"/>
            <w:vAlign w:val="bottom"/>
          </w:tcPr>
          <w:p>
            <w:pPr>
              <w:spacing w:after="0"/>
              <w:rPr>
                <w:sz w:val="1"/>
                <w:szCs w:val="1"/>
                <w:color w:val="auto"/>
              </w:rPr>
            </w:pPr>
          </w:p>
        </w:tc>
      </w:tr>
      <w:tr>
        <w:trPr>
          <w:trHeight w:val="23"/>
        </w:trPr>
        <w:tc>
          <w:tcPr>
            <w:tcW w:w="40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4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(16,498)</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(17,326)</w:t>
            </w:r>
          </w:p>
        </w:tc>
        <w:tc>
          <w:tcPr>
            <w:tcW w:w="8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(18,019)</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(19,015)</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w:t>
            </w:r>
          </w:p>
        </w:tc>
        <w:tc>
          <w:tcPr>
            <w:tcW w:w="4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activities:</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80" w:type="dxa"/>
            <w:vAlign w:val="bottom"/>
          </w:tcPr>
          <w:p>
            <w:pPr>
              <w:spacing w:after="0"/>
              <w:rPr>
                <w:sz w:val="16"/>
                <w:szCs w:val="16"/>
                <w:color w:val="auto"/>
              </w:rPr>
            </w:pPr>
          </w:p>
        </w:tc>
        <w:tc>
          <w:tcPr>
            <w:tcW w:w="170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174</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76</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(accretion) on marketable securities</w:t>
            </w:r>
          </w:p>
        </w:tc>
        <w:tc>
          <w:tcPr>
            <w:tcW w:w="4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(143)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interest expense</w:t>
            </w:r>
          </w:p>
        </w:tc>
        <w:tc>
          <w:tcPr>
            <w:tcW w:w="480" w:type="dxa"/>
            <w:vAlign w:val="bottom"/>
          </w:tcPr>
          <w:p>
            <w:pPr>
              <w:spacing w:after="0"/>
              <w:rPr>
                <w:sz w:val="16"/>
                <w:szCs w:val="16"/>
                <w:color w:val="auto"/>
              </w:rPr>
            </w:pPr>
          </w:p>
        </w:tc>
        <w:tc>
          <w:tcPr>
            <w:tcW w:w="170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24</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19</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Non-cash lease expense</w:t>
            </w:r>
          </w:p>
        </w:tc>
        <w:tc>
          <w:tcPr>
            <w:tcW w:w="4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131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179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39"/>
        </w:trPr>
        <w:tc>
          <w:tcPr>
            <w:tcW w:w="402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Non-cash (income) expense from collaborative arrangements,</w:t>
            </w:r>
          </w:p>
        </w:tc>
        <w:tc>
          <w:tcPr>
            <w:tcW w:w="480" w:type="dxa"/>
            <w:vAlign w:val="bottom"/>
          </w:tcPr>
          <w:p>
            <w:pPr>
              <w:spacing w:after="0"/>
              <w:rPr>
                <w:sz w:val="12"/>
                <w:szCs w:val="12"/>
                <w:color w:val="auto"/>
              </w:rPr>
            </w:pPr>
          </w:p>
        </w:tc>
        <w:tc>
          <w:tcPr>
            <w:tcW w:w="170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vMerge w:val="restart"/>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0" w:type="dxa"/>
            <w:vAlign w:val="bottom"/>
          </w:tcPr>
          <w:p>
            <w:pPr>
              <w:spacing w:after="0"/>
              <w:rPr>
                <w:sz w:val="1"/>
                <w:szCs w:val="1"/>
                <w:color w:val="auto"/>
              </w:rPr>
            </w:pPr>
          </w:p>
        </w:tc>
      </w:tr>
      <w:tr>
        <w:trPr>
          <w:trHeight w:val="193"/>
        </w:trPr>
        <w:tc>
          <w:tcPr>
            <w:tcW w:w="4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w:t>
            </w:r>
          </w:p>
        </w:tc>
        <w:tc>
          <w:tcPr>
            <w:tcW w:w="48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4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2,689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3,299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0" w:type="dxa"/>
            <w:vAlign w:val="bottom"/>
          </w:tcPr>
          <w:p>
            <w:pPr>
              <w:spacing w:after="0"/>
              <w:rPr>
                <w:sz w:val="1"/>
                <w:szCs w:val="1"/>
                <w:color w:val="auto"/>
              </w:rPr>
            </w:pPr>
          </w:p>
        </w:tc>
      </w:tr>
      <w:tr>
        <w:trPr>
          <w:trHeight w:val="195"/>
        </w:trPr>
        <w:tc>
          <w:tcPr>
            <w:tcW w:w="4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480" w:type="dxa"/>
            <w:vAlign w:val="bottom"/>
          </w:tcPr>
          <w:p>
            <w:pPr>
              <w:spacing w:after="0"/>
              <w:rPr>
                <w:sz w:val="16"/>
                <w:szCs w:val="16"/>
                <w:color w:val="auto"/>
              </w:rPr>
            </w:pPr>
          </w:p>
        </w:tc>
        <w:tc>
          <w:tcPr>
            <w:tcW w:w="170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352</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4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80" w:type="dxa"/>
            <w:vAlign w:val="bottom"/>
          </w:tcPr>
          <w:p>
            <w:pPr>
              <w:spacing w:after="0"/>
              <w:rPr>
                <w:sz w:val="16"/>
                <w:szCs w:val="16"/>
                <w:color w:val="auto"/>
              </w:rPr>
            </w:pPr>
          </w:p>
        </w:tc>
        <w:tc>
          <w:tcPr>
            <w:tcW w:w="170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(60)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(575)</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4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(4,784)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131</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Lease obligations</w:t>
            </w:r>
          </w:p>
        </w:tc>
        <w:tc>
          <w:tcPr>
            <w:tcW w:w="4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(125)</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(176)</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(18,240)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(18,240)</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(15,066)</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(15,066)</w:t>
            </w:r>
          </w:p>
        </w:tc>
        <w:tc>
          <w:tcPr>
            <w:tcW w:w="0" w:type="dxa"/>
            <w:vAlign w:val="bottom"/>
          </w:tcPr>
          <w:p>
            <w:pPr>
              <w:spacing w:after="0"/>
              <w:rPr>
                <w:sz w:val="1"/>
                <w:szCs w:val="1"/>
                <w:color w:val="auto"/>
              </w:rPr>
            </w:pPr>
          </w:p>
        </w:tc>
      </w:tr>
      <w:tr>
        <w:trPr>
          <w:trHeight w:val="19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4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(3,947)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480" w:type="dxa"/>
            <w:vAlign w:val="bottom"/>
          </w:tcPr>
          <w:p>
            <w:pPr>
              <w:spacing w:after="0"/>
              <w:rPr>
                <w:sz w:val="16"/>
                <w:szCs w:val="16"/>
                <w:color w:val="auto"/>
              </w:rPr>
            </w:pPr>
          </w:p>
        </w:tc>
        <w:tc>
          <w:tcPr>
            <w:tcW w:w="170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9,000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4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(1,612)</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(223)</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480" w:type="dxa"/>
            <w:vAlign w:val="bottom"/>
          </w:tcPr>
          <w:p>
            <w:pPr>
              <w:spacing w:after="0"/>
              <w:rPr>
                <w:sz w:val="16"/>
                <w:szCs w:val="16"/>
                <w:color w:val="auto"/>
              </w:rPr>
            </w:pPr>
          </w:p>
        </w:tc>
        <w:tc>
          <w:tcPr>
            <w:tcW w:w="170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3,441</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(223)</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 net</w:t>
            </w:r>
          </w:p>
        </w:tc>
        <w:tc>
          <w:tcPr>
            <w:tcW w:w="480" w:type="dxa"/>
            <w:vAlign w:val="bottom"/>
          </w:tcPr>
          <w:p>
            <w:pPr>
              <w:spacing w:after="0"/>
              <w:rPr>
                <w:sz w:val="16"/>
                <w:szCs w:val="16"/>
                <w:color w:val="auto"/>
              </w:rPr>
            </w:pPr>
          </w:p>
        </w:tc>
        <w:tc>
          <w:tcPr>
            <w:tcW w:w="170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5,731</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50,177</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50,177</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equity issuance costs</w:t>
            </w:r>
          </w:p>
        </w:tc>
        <w:tc>
          <w:tcPr>
            <w:tcW w:w="4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(173)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(75)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4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(62)</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5,496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5,496</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50,102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50,102</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changes in exchange rate on cash and cash equivalents</w:t>
            </w:r>
          </w:p>
        </w:tc>
        <w:tc>
          <w:tcPr>
            <w:tcW w:w="4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(1)</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(9,304)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34,813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34,813</w:t>
            </w:r>
          </w:p>
        </w:tc>
        <w:tc>
          <w:tcPr>
            <w:tcW w:w="0" w:type="dxa"/>
            <w:vAlign w:val="bottom"/>
          </w:tcPr>
          <w:p>
            <w:pPr>
              <w:spacing w:after="0"/>
              <w:rPr>
                <w:sz w:val="1"/>
                <w:szCs w:val="1"/>
                <w:color w:val="auto"/>
              </w:rPr>
            </w:pPr>
          </w:p>
        </w:tc>
      </w:tr>
      <w:tr>
        <w:trPr>
          <w:trHeight w:val="137"/>
        </w:trPr>
        <w:tc>
          <w:tcPr>
            <w:tcW w:w="40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w:t>
            </w:r>
          </w:p>
        </w:tc>
        <w:tc>
          <w:tcPr>
            <w:tcW w:w="480" w:type="dxa"/>
            <w:vAlign w:val="bottom"/>
          </w:tcPr>
          <w:p>
            <w:pPr>
              <w:spacing w:after="0"/>
              <w:rPr>
                <w:sz w:val="11"/>
                <w:szCs w:val="11"/>
                <w:color w:val="auto"/>
              </w:rPr>
            </w:pPr>
          </w:p>
        </w:tc>
        <w:tc>
          <w:tcPr>
            <w:tcW w:w="170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color w:val="auto"/>
              </w:rPr>
              <w:t>77,563</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77,563</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vMerge w:val="restart"/>
          </w:tcPr>
          <w:p>
            <w:pPr>
              <w:jc w:val="right"/>
              <w:ind w:right="808"/>
              <w:spacing w:after="0"/>
              <w:rPr>
                <w:sz w:val="20"/>
                <w:szCs w:val="20"/>
                <w:color w:val="auto"/>
              </w:rPr>
            </w:pPr>
            <w:r>
              <w:rPr>
                <w:rFonts w:ascii="Times New Roman" w:cs="Times New Roman" w:eastAsia="Times New Roman" w:hAnsi="Times New Roman"/>
                <w:sz w:val="14"/>
                <w:szCs w:val="14"/>
                <w:color w:val="auto"/>
              </w:rPr>
              <w:t>95,109</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95,109</w:t>
            </w:r>
          </w:p>
        </w:tc>
        <w:tc>
          <w:tcPr>
            <w:tcW w:w="0" w:type="dxa"/>
            <w:vAlign w:val="bottom"/>
          </w:tcPr>
          <w:p>
            <w:pPr>
              <w:spacing w:after="0"/>
              <w:rPr>
                <w:sz w:val="1"/>
                <w:szCs w:val="1"/>
                <w:color w:val="auto"/>
              </w:rPr>
            </w:pPr>
          </w:p>
        </w:tc>
      </w:tr>
      <w:tr>
        <w:trPr>
          <w:trHeight w:val="195"/>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68,259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68,259</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129,922</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129,922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40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1,119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611</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0" w:type="dxa"/>
            <w:vAlign w:val="bottom"/>
          </w:tcPr>
          <w:p>
            <w:pPr>
              <w:spacing w:after="0"/>
              <w:rPr>
                <w:sz w:val="1"/>
                <w:szCs w:val="1"/>
                <w:color w:val="auto"/>
              </w:rPr>
            </w:pPr>
          </w:p>
        </w:tc>
      </w:tr>
      <w:tr>
        <w:trPr>
          <w:trHeight w:val="188"/>
        </w:trPr>
        <w:tc>
          <w:tcPr>
            <w:tcW w:w="4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issuance costs</w:t>
            </w: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71</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Corrected Consolidated Statements of Cash Flows (Unaudited)</w:t>
            </w: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previously reported Adjustment</w:t>
            </w:r>
          </w:p>
        </w:tc>
        <w:tc>
          <w:tcPr>
            <w:tcW w:w="50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As Restated</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previously reported Adjustment</w:t>
            </w:r>
          </w:p>
        </w:tc>
        <w:tc>
          <w:tcPr>
            <w:tcW w:w="54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Restated</w:t>
            </w:r>
          </w:p>
        </w:tc>
        <w:tc>
          <w:tcPr>
            <w:tcW w:w="0" w:type="dxa"/>
            <w:vAlign w:val="bottom"/>
          </w:tcPr>
          <w:p>
            <w:pPr>
              <w:spacing w:after="0"/>
              <w:rPr>
                <w:sz w:val="1"/>
                <w:szCs w:val="1"/>
                <w:color w:val="auto"/>
              </w:rPr>
            </w:pPr>
          </w:p>
        </w:tc>
      </w:tr>
      <w:tr>
        <w:trPr>
          <w:trHeight w:val="23"/>
        </w:trPr>
        <w:tc>
          <w:tcPr>
            <w:tcW w:w="40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4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767"/>
              <w:spacing w:after="0"/>
              <w:rPr>
                <w:sz w:val="20"/>
                <w:szCs w:val="20"/>
                <w:color w:val="auto"/>
              </w:rPr>
            </w:pPr>
            <w:r>
              <w:rPr>
                <w:rFonts w:ascii="Times New Roman" w:cs="Times New Roman" w:eastAsia="Times New Roman" w:hAnsi="Times New Roman"/>
                <w:sz w:val="14"/>
                <w:szCs w:val="14"/>
                <w:color w:val="auto"/>
              </w:rPr>
              <w:t>(39,423)</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(40,391)</w:t>
            </w:r>
          </w:p>
        </w:tc>
        <w:tc>
          <w:tcPr>
            <w:tcW w:w="8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(37,490)</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(40,497)</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w:t>
            </w:r>
          </w:p>
        </w:tc>
        <w:tc>
          <w:tcPr>
            <w:tcW w:w="4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activities:</w:t>
            </w:r>
          </w:p>
        </w:tc>
        <w:tc>
          <w:tcPr>
            <w:tcW w:w="4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60" w:type="dxa"/>
            <w:vAlign w:val="bottom"/>
          </w:tcPr>
          <w:p>
            <w:pPr>
              <w:spacing w:after="0"/>
              <w:rPr>
                <w:sz w:val="16"/>
                <w:szCs w:val="16"/>
                <w:color w:val="auto"/>
              </w:rPr>
            </w:pPr>
          </w:p>
        </w:tc>
        <w:tc>
          <w:tcPr>
            <w:tcW w:w="1720" w:type="dxa"/>
            <w:vAlign w:val="bottom"/>
          </w:tcPr>
          <w:p>
            <w:pPr>
              <w:jc w:val="right"/>
              <w:ind w:right="807"/>
              <w:spacing w:after="0"/>
              <w:rPr>
                <w:sz w:val="20"/>
                <w:szCs w:val="20"/>
                <w:color w:val="auto"/>
              </w:rPr>
            </w:pPr>
            <w:r>
              <w:rPr>
                <w:rFonts w:ascii="Times New Roman" w:cs="Times New Roman" w:eastAsia="Times New Roman" w:hAnsi="Times New Roman"/>
                <w:sz w:val="14"/>
                <w:szCs w:val="14"/>
                <w:color w:val="auto"/>
              </w:rPr>
              <w:t>348</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166</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(accretion) on marketable securities</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767"/>
              <w:spacing w:after="0"/>
              <w:rPr>
                <w:sz w:val="20"/>
                <w:szCs w:val="20"/>
                <w:color w:val="auto"/>
              </w:rPr>
            </w:pPr>
            <w:r>
              <w:rPr>
                <w:rFonts w:ascii="Times New Roman" w:cs="Times New Roman" w:eastAsia="Times New Roman" w:hAnsi="Times New Roman"/>
                <w:sz w:val="14"/>
                <w:szCs w:val="14"/>
                <w:color w:val="auto"/>
              </w:rPr>
              <w:t>(182)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interest expense</w:t>
            </w:r>
          </w:p>
        </w:tc>
        <w:tc>
          <w:tcPr>
            <w:tcW w:w="460" w:type="dxa"/>
            <w:vAlign w:val="bottom"/>
          </w:tcPr>
          <w:p>
            <w:pPr>
              <w:spacing w:after="0"/>
              <w:rPr>
                <w:sz w:val="16"/>
                <w:szCs w:val="16"/>
                <w:color w:val="auto"/>
              </w:rPr>
            </w:pPr>
          </w:p>
        </w:tc>
        <w:tc>
          <w:tcPr>
            <w:tcW w:w="1720" w:type="dxa"/>
            <w:vAlign w:val="bottom"/>
          </w:tcPr>
          <w:p>
            <w:pPr>
              <w:jc w:val="right"/>
              <w:ind w:right="807"/>
              <w:spacing w:after="0"/>
              <w:rPr>
                <w:sz w:val="20"/>
                <w:szCs w:val="20"/>
                <w:color w:val="auto"/>
              </w:rPr>
            </w:pPr>
            <w:r>
              <w:rPr>
                <w:rFonts w:ascii="Times New Roman" w:cs="Times New Roman" w:eastAsia="Times New Roman" w:hAnsi="Times New Roman"/>
                <w:sz w:val="14"/>
                <w:szCs w:val="14"/>
                <w:color w:val="auto"/>
              </w:rPr>
              <w:t>54</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38</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Non-cash lease expense</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07"/>
              <w:spacing w:after="0"/>
              <w:rPr>
                <w:sz w:val="20"/>
                <w:szCs w:val="20"/>
                <w:color w:val="auto"/>
              </w:rPr>
            </w:pPr>
            <w:r>
              <w:rPr>
                <w:rFonts w:ascii="Times New Roman" w:cs="Times New Roman" w:eastAsia="Times New Roman" w:hAnsi="Times New Roman"/>
                <w:sz w:val="14"/>
                <w:szCs w:val="14"/>
                <w:color w:val="auto"/>
              </w:rPr>
              <w:t>265</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334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95"/>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(income) expense from collaborative arrangements, net</w:t>
            </w:r>
          </w:p>
        </w:tc>
        <w:tc>
          <w:tcPr>
            <w:tcW w:w="460" w:type="dxa"/>
            <w:vAlign w:val="bottom"/>
          </w:tcPr>
          <w:p>
            <w:pPr>
              <w:spacing w:after="0"/>
              <w:rPr>
                <w:sz w:val="16"/>
                <w:szCs w:val="16"/>
                <w:color w:val="auto"/>
              </w:rPr>
            </w:pPr>
          </w:p>
        </w:tc>
        <w:tc>
          <w:tcPr>
            <w:tcW w:w="1720" w:type="dxa"/>
            <w:vAlign w:val="bottom"/>
          </w:tcPr>
          <w:p>
            <w:pPr>
              <w:jc w:val="right"/>
              <w:ind w:right="807"/>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07"/>
              <w:spacing w:after="0"/>
              <w:rPr>
                <w:sz w:val="20"/>
                <w:szCs w:val="20"/>
                <w:color w:val="auto"/>
              </w:rPr>
            </w:pPr>
            <w:r>
              <w:rPr>
                <w:rFonts w:ascii="Times New Roman" w:cs="Times New Roman" w:eastAsia="Times New Roman" w:hAnsi="Times New Roman"/>
                <w:sz w:val="14"/>
                <w:szCs w:val="14"/>
                <w:color w:val="auto"/>
              </w:rPr>
              <w:t>5,321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5,378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w:t>
            </w:r>
          </w:p>
        </w:tc>
        <w:tc>
          <w:tcPr>
            <w:tcW w:w="0" w:type="dxa"/>
            <w:vAlign w:val="bottom"/>
          </w:tcPr>
          <w:p>
            <w:pPr>
              <w:spacing w:after="0"/>
              <w:rPr>
                <w:sz w:val="1"/>
                <w:szCs w:val="1"/>
                <w:color w:val="auto"/>
              </w:rPr>
            </w:pPr>
          </w:p>
        </w:tc>
      </w:tr>
      <w:tr>
        <w:trPr>
          <w:trHeight w:val="195"/>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 of advance for COVAXIN supply</w:t>
            </w:r>
          </w:p>
        </w:tc>
        <w:tc>
          <w:tcPr>
            <w:tcW w:w="460" w:type="dxa"/>
            <w:vAlign w:val="bottom"/>
          </w:tcPr>
          <w:p>
            <w:pPr>
              <w:spacing w:after="0"/>
              <w:rPr>
                <w:sz w:val="16"/>
                <w:szCs w:val="16"/>
                <w:color w:val="auto"/>
              </w:rPr>
            </w:pPr>
          </w:p>
        </w:tc>
        <w:tc>
          <w:tcPr>
            <w:tcW w:w="1720" w:type="dxa"/>
            <w:vAlign w:val="bottom"/>
          </w:tcPr>
          <w:p>
            <w:pPr>
              <w:jc w:val="right"/>
              <w:ind w:right="807"/>
              <w:spacing w:after="0"/>
              <w:rPr>
                <w:sz w:val="20"/>
                <w:szCs w:val="20"/>
                <w:color w:val="auto"/>
              </w:rPr>
            </w:pPr>
            <w:r>
              <w:rPr>
                <w:rFonts w:ascii="Times New Roman" w:cs="Times New Roman" w:eastAsia="Times New Roman" w:hAnsi="Times New Roman"/>
                <w:sz w:val="14"/>
                <w:szCs w:val="14"/>
                <w:color w:val="auto"/>
              </w:rPr>
              <w:t>4,074</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 on disposal of fixed assets related to COVAXIN</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07"/>
              <w:spacing w:after="0"/>
              <w:rPr>
                <w:sz w:val="20"/>
                <w:szCs w:val="20"/>
                <w:color w:val="auto"/>
              </w:rPr>
            </w:pPr>
            <w:r>
              <w:rPr>
                <w:rFonts w:ascii="Times New Roman" w:cs="Times New Roman" w:eastAsia="Times New Roman" w:hAnsi="Times New Roman"/>
                <w:sz w:val="14"/>
                <w:szCs w:val="14"/>
                <w:color w:val="auto"/>
              </w:rPr>
              <w:t>363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tcPr>
          <w:p>
            <w:pPr>
              <w:spacing w:after="0"/>
              <w:rPr>
                <w:sz w:val="16"/>
                <w:szCs w:val="16"/>
                <w:color w:val="auto"/>
              </w:rPr>
            </w:pPr>
          </w:p>
        </w:tc>
        <w:tc>
          <w:tcPr>
            <w:tcW w:w="1720" w:type="dxa"/>
            <w:vAlign w:val="bottom"/>
          </w:tcPr>
          <w:p>
            <w:pPr>
              <w:jc w:val="right"/>
              <w:ind w:right="807"/>
              <w:spacing w:after="0"/>
              <w:rPr>
                <w:sz w:val="20"/>
                <w:szCs w:val="20"/>
                <w:color w:val="auto"/>
              </w:rPr>
            </w:pPr>
            <w:r>
              <w:rPr>
                <w:rFonts w:ascii="Times New Roman" w:cs="Times New Roman" w:eastAsia="Times New Roman" w:hAnsi="Times New Roman"/>
                <w:sz w:val="14"/>
                <w:szCs w:val="14"/>
                <w:color w:val="auto"/>
              </w:rPr>
              <w:t>439</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60" w:type="dxa"/>
            <w:vAlign w:val="bottom"/>
          </w:tcPr>
          <w:p>
            <w:pPr>
              <w:spacing w:after="0"/>
              <w:rPr>
                <w:sz w:val="16"/>
                <w:szCs w:val="16"/>
                <w:color w:val="auto"/>
              </w:rPr>
            </w:pPr>
          </w:p>
        </w:tc>
        <w:tc>
          <w:tcPr>
            <w:tcW w:w="1720" w:type="dxa"/>
            <w:vAlign w:val="bottom"/>
          </w:tcPr>
          <w:p>
            <w:pPr>
              <w:jc w:val="right"/>
              <w:ind w:right="807"/>
              <w:spacing w:after="0"/>
              <w:rPr>
                <w:sz w:val="20"/>
                <w:szCs w:val="20"/>
                <w:color w:val="auto"/>
              </w:rPr>
            </w:pPr>
            <w:r>
              <w:rPr>
                <w:rFonts w:ascii="Times New Roman" w:cs="Times New Roman" w:eastAsia="Times New Roman" w:hAnsi="Times New Roman"/>
                <w:sz w:val="14"/>
                <w:szCs w:val="14"/>
                <w:color w:val="auto"/>
              </w:rPr>
              <w:t>572</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132</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46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767"/>
              <w:spacing w:after="0"/>
              <w:rPr>
                <w:sz w:val="20"/>
                <w:szCs w:val="20"/>
                <w:color w:val="auto"/>
              </w:rPr>
            </w:pPr>
            <w:r>
              <w:rPr>
                <w:rFonts w:ascii="Times New Roman" w:cs="Times New Roman" w:eastAsia="Times New Roman" w:hAnsi="Times New Roman"/>
                <w:sz w:val="14"/>
                <w:szCs w:val="14"/>
                <w:color w:val="auto"/>
              </w:rPr>
              <w:t>(8,625)</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(9,049)</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2,844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Lease obligations</w:t>
            </w:r>
          </w:p>
        </w:tc>
        <w:tc>
          <w:tcPr>
            <w:tcW w:w="4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67"/>
              <w:spacing w:after="0"/>
              <w:rPr>
                <w:sz w:val="20"/>
                <w:szCs w:val="20"/>
                <w:color w:val="auto"/>
              </w:rPr>
            </w:pPr>
            <w:r>
              <w:rPr>
                <w:rFonts w:ascii="Times New Roman" w:cs="Times New Roman" w:eastAsia="Times New Roman" w:hAnsi="Times New Roman"/>
                <w:sz w:val="14"/>
                <w:szCs w:val="14"/>
                <w:color w:val="auto"/>
              </w:rPr>
              <w:t>(252)</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rPr>
              <w:t>(265)</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46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767"/>
              <w:spacing w:after="0"/>
              <w:rPr>
                <w:sz w:val="20"/>
                <w:szCs w:val="20"/>
                <w:color w:val="auto"/>
              </w:rPr>
            </w:pPr>
            <w:r>
              <w:rPr>
                <w:rFonts w:ascii="Times New Roman" w:cs="Times New Roman" w:eastAsia="Times New Roman" w:hAnsi="Times New Roman"/>
                <w:sz w:val="14"/>
                <w:szCs w:val="14"/>
                <w:color w:val="auto"/>
              </w:rPr>
              <w:t>(37,046)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(28,863)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(28,863)</w:t>
            </w:r>
          </w:p>
        </w:tc>
        <w:tc>
          <w:tcPr>
            <w:tcW w:w="0" w:type="dxa"/>
            <w:vAlign w:val="bottom"/>
          </w:tcPr>
          <w:p>
            <w:pPr>
              <w:spacing w:after="0"/>
              <w:rPr>
                <w:sz w:val="1"/>
                <w:szCs w:val="1"/>
                <w:color w:val="auto"/>
              </w:rPr>
            </w:pPr>
          </w:p>
        </w:tc>
      </w:tr>
      <w:tr>
        <w:trPr>
          <w:trHeight w:val="196"/>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767"/>
              <w:spacing w:after="0"/>
              <w:rPr>
                <w:sz w:val="20"/>
                <w:szCs w:val="20"/>
                <w:color w:val="auto"/>
              </w:rPr>
            </w:pPr>
            <w:r>
              <w:rPr>
                <w:rFonts w:ascii="Times New Roman" w:cs="Times New Roman" w:eastAsia="Times New Roman" w:hAnsi="Times New Roman"/>
                <w:sz w:val="14"/>
                <w:szCs w:val="14"/>
                <w:color w:val="auto"/>
              </w:rPr>
              <w:t>(3,947)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460" w:type="dxa"/>
            <w:vAlign w:val="bottom"/>
          </w:tcPr>
          <w:p>
            <w:pPr>
              <w:spacing w:after="0"/>
              <w:rPr>
                <w:sz w:val="16"/>
                <w:szCs w:val="16"/>
                <w:color w:val="auto"/>
              </w:rPr>
            </w:pPr>
          </w:p>
        </w:tc>
        <w:tc>
          <w:tcPr>
            <w:tcW w:w="1720" w:type="dxa"/>
            <w:vAlign w:val="bottom"/>
          </w:tcPr>
          <w:p>
            <w:pPr>
              <w:jc w:val="right"/>
              <w:ind w:right="807"/>
              <w:spacing w:after="0"/>
              <w:rPr>
                <w:sz w:val="20"/>
                <w:szCs w:val="20"/>
                <w:color w:val="auto"/>
              </w:rPr>
            </w:pPr>
            <w:r>
              <w:rPr>
                <w:rFonts w:ascii="Times New Roman" w:cs="Times New Roman" w:eastAsia="Times New Roman" w:hAnsi="Times New Roman"/>
                <w:sz w:val="14"/>
                <w:szCs w:val="14"/>
                <w:color w:val="auto"/>
              </w:rPr>
              <w:t>17,500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4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767"/>
              <w:spacing w:after="0"/>
              <w:rPr>
                <w:sz w:val="20"/>
                <w:szCs w:val="20"/>
                <w:color w:val="auto"/>
              </w:rPr>
            </w:pPr>
            <w:r>
              <w:rPr>
                <w:rFonts w:ascii="Times New Roman" w:cs="Times New Roman" w:eastAsia="Times New Roman" w:hAnsi="Times New Roman"/>
                <w:sz w:val="14"/>
                <w:szCs w:val="14"/>
                <w:color w:val="auto"/>
              </w:rPr>
              <w:t>(4,389)</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(4,389)</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(1,589)</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460" w:type="dxa"/>
            <w:vAlign w:val="bottom"/>
          </w:tcPr>
          <w:p>
            <w:pPr>
              <w:spacing w:after="0"/>
              <w:rPr>
                <w:sz w:val="16"/>
                <w:szCs w:val="16"/>
                <w:color w:val="auto"/>
              </w:rPr>
            </w:pPr>
          </w:p>
        </w:tc>
        <w:tc>
          <w:tcPr>
            <w:tcW w:w="1720" w:type="dxa"/>
            <w:vAlign w:val="bottom"/>
          </w:tcPr>
          <w:p>
            <w:pPr>
              <w:jc w:val="right"/>
              <w:ind w:right="807"/>
              <w:spacing w:after="0"/>
              <w:rPr>
                <w:sz w:val="20"/>
                <w:szCs w:val="20"/>
                <w:color w:val="auto"/>
              </w:rPr>
            </w:pPr>
            <w:r>
              <w:rPr>
                <w:rFonts w:ascii="Times New Roman" w:cs="Times New Roman" w:eastAsia="Times New Roman" w:hAnsi="Times New Roman"/>
                <w:sz w:val="14"/>
                <w:szCs w:val="14"/>
                <w:color w:val="auto"/>
              </w:rPr>
              <w:t>9,164</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9,164</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(1,589)</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 net</w:t>
            </w:r>
          </w:p>
        </w:tc>
        <w:tc>
          <w:tcPr>
            <w:tcW w:w="460" w:type="dxa"/>
            <w:vAlign w:val="bottom"/>
          </w:tcPr>
          <w:p>
            <w:pPr>
              <w:spacing w:after="0"/>
              <w:rPr>
                <w:sz w:val="16"/>
                <w:szCs w:val="16"/>
                <w:color w:val="auto"/>
              </w:rPr>
            </w:pPr>
          </w:p>
        </w:tc>
        <w:tc>
          <w:tcPr>
            <w:tcW w:w="1720" w:type="dxa"/>
            <w:vAlign w:val="bottom"/>
          </w:tcPr>
          <w:p>
            <w:pPr>
              <w:jc w:val="right"/>
              <w:ind w:right="807"/>
              <w:spacing w:after="0"/>
              <w:rPr>
                <w:sz w:val="20"/>
                <w:szCs w:val="20"/>
                <w:color w:val="auto"/>
              </w:rPr>
            </w:pPr>
            <w:r>
              <w:rPr>
                <w:rFonts w:ascii="Times New Roman" w:cs="Times New Roman" w:eastAsia="Times New Roman" w:hAnsi="Times New Roman"/>
                <w:sz w:val="14"/>
                <w:szCs w:val="14"/>
                <w:color w:val="auto"/>
              </w:rPr>
              <w:t>20,690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20,690</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50,538</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50,538</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equity issuance costs</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767"/>
              <w:spacing w:after="0"/>
              <w:rPr>
                <w:sz w:val="20"/>
                <w:szCs w:val="20"/>
                <w:color w:val="auto"/>
              </w:rPr>
            </w:pPr>
            <w:r>
              <w:rPr>
                <w:rFonts w:ascii="Times New Roman" w:cs="Times New Roman" w:eastAsia="Times New Roman" w:hAnsi="Times New Roman"/>
                <w:sz w:val="14"/>
                <w:szCs w:val="14"/>
                <w:color w:val="auto"/>
              </w:rPr>
              <w:t>(222)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(200)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95"/>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460" w:type="dxa"/>
            <w:vAlign w:val="bottom"/>
          </w:tcPr>
          <w:p>
            <w:pPr>
              <w:spacing w:after="0"/>
              <w:rPr>
                <w:sz w:val="16"/>
                <w:szCs w:val="16"/>
                <w:color w:val="auto"/>
              </w:rPr>
            </w:pPr>
          </w:p>
        </w:tc>
        <w:tc>
          <w:tcPr>
            <w:tcW w:w="1720" w:type="dxa"/>
            <w:vAlign w:val="bottom"/>
          </w:tcPr>
          <w:p>
            <w:pPr>
              <w:jc w:val="right"/>
              <w:ind w:right="807"/>
              <w:spacing w:after="0"/>
              <w:rPr>
                <w:sz w:val="20"/>
                <w:szCs w:val="20"/>
                <w:color w:val="auto"/>
              </w:rPr>
            </w:pPr>
            <w:r>
              <w:rPr>
                <w:rFonts w:ascii="Times New Roman" w:cs="Times New Roman" w:eastAsia="Times New Roman" w:hAnsi="Times New Roman"/>
                <w:sz w:val="14"/>
                <w:szCs w:val="14"/>
                <w:color w:val="auto"/>
              </w:rPr>
              <w:t>500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4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767"/>
              <w:spacing w:after="0"/>
              <w:rPr>
                <w:sz w:val="20"/>
                <w:szCs w:val="20"/>
                <w:color w:val="auto"/>
              </w:rPr>
            </w:pPr>
            <w:r>
              <w:rPr>
                <w:rFonts w:ascii="Times New Roman" w:cs="Times New Roman" w:eastAsia="Times New Roman" w:hAnsi="Times New Roman"/>
                <w:sz w:val="14"/>
                <w:szCs w:val="14"/>
                <w:color w:val="auto"/>
              </w:rPr>
              <w:t>(68)</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460" w:type="dxa"/>
            <w:vAlign w:val="bottom"/>
          </w:tcPr>
          <w:p>
            <w:pPr>
              <w:spacing w:after="0"/>
              <w:rPr>
                <w:sz w:val="16"/>
                <w:szCs w:val="16"/>
                <w:color w:val="auto"/>
              </w:rPr>
            </w:pPr>
          </w:p>
        </w:tc>
        <w:tc>
          <w:tcPr>
            <w:tcW w:w="1720" w:type="dxa"/>
            <w:vAlign w:val="bottom"/>
          </w:tcPr>
          <w:p>
            <w:pPr>
              <w:jc w:val="right"/>
              <w:ind w:right="807"/>
              <w:spacing w:after="0"/>
              <w:rPr>
                <w:sz w:val="20"/>
                <w:szCs w:val="20"/>
                <w:color w:val="auto"/>
              </w:rPr>
            </w:pPr>
            <w:r>
              <w:rPr>
                <w:rFonts w:ascii="Times New Roman" w:cs="Times New Roman" w:eastAsia="Times New Roman" w:hAnsi="Times New Roman"/>
                <w:sz w:val="14"/>
                <w:szCs w:val="14"/>
                <w:color w:val="auto"/>
              </w:rPr>
              <w:t>20,900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20,900</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50,338</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50,338</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changes in exchange rate on cash and cash equivalents</w:t>
            </w:r>
          </w:p>
        </w:tc>
        <w:tc>
          <w:tcPr>
            <w:tcW w:w="4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767"/>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10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460" w:type="dxa"/>
            <w:vAlign w:val="bottom"/>
          </w:tcPr>
          <w:p>
            <w:pPr>
              <w:spacing w:after="0"/>
              <w:rPr>
                <w:sz w:val="16"/>
                <w:szCs w:val="16"/>
                <w:color w:val="auto"/>
              </w:rPr>
            </w:pPr>
          </w:p>
        </w:tc>
        <w:tc>
          <w:tcPr>
            <w:tcW w:w="1720" w:type="dxa"/>
            <w:vAlign w:val="bottom"/>
          </w:tcPr>
          <w:p>
            <w:pPr>
              <w:jc w:val="right"/>
              <w:ind w:right="767"/>
              <w:spacing w:after="0"/>
              <w:rPr>
                <w:sz w:val="20"/>
                <w:szCs w:val="20"/>
                <w:color w:val="auto"/>
              </w:rPr>
            </w:pPr>
            <w:r>
              <w:rPr>
                <w:rFonts w:ascii="Times New Roman" w:cs="Times New Roman" w:eastAsia="Times New Roman" w:hAnsi="Times New Roman"/>
                <w:sz w:val="14"/>
                <w:szCs w:val="14"/>
                <w:color w:val="auto"/>
              </w:rPr>
              <w:t>(6,985)</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(6,985)</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19,896</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19,896</w:t>
            </w: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w:t>
            </w:r>
          </w:p>
        </w:tc>
        <w:tc>
          <w:tcPr>
            <w:tcW w:w="460" w:type="dxa"/>
            <w:vAlign w:val="bottom"/>
            <w:shd w:val="clear" w:color="auto" w:fill="CCEEFF"/>
          </w:tcPr>
          <w:p>
            <w:pPr>
              <w:spacing w:after="0"/>
              <w:rPr>
                <w:sz w:val="12"/>
                <w:szCs w:val="12"/>
                <w:color w:val="auto"/>
              </w:rPr>
            </w:pPr>
          </w:p>
        </w:tc>
        <w:tc>
          <w:tcPr>
            <w:tcW w:w="1720" w:type="dxa"/>
            <w:vAlign w:val="bottom"/>
            <w:vMerge w:val="restart"/>
            <w:shd w:val="clear" w:color="auto" w:fill="CCEEFF"/>
          </w:tcPr>
          <w:p>
            <w:pPr>
              <w:jc w:val="right"/>
              <w:ind w:right="807"/>
              <w:spacing w:after="0"/>
              <w:rPr>
                <w:sz w:val="20"/>
                <w:szCs w:val="20"/>
                <w:color w:val="auto"/>
              </w:rPr>
            </w:pPr>
            <w:r>
              <w:rPr>
                <w:rFonts w:ascii="Times New Roman" w:cs="Times New Roman" w:eastAsia="Times New Roman" w:hAnsi="Times New Roman"/>
                <w:sz w:val="14"/>
                <w:szCs w:val="14"/>
                <w:color w:val="auto"/>
              </w:rPr>
              <w:t>77,563</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77,563</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95,109</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95,109</w:t>
            </w:r>
          </w:p>
        </w:tc>
        <w:tc>
          <w:tcPr>
            <w:tcW w:w="0" w:type="dxa"/>
            <w:vAlign w:val="bottom"/>
          </w:tcPr>
          <w:p>
            <w:pPr>
              <w:spacing w:after="0"/>
              <w:rPr>
                <w:sz w:val="1"/>
                <w:szCs w:val="1"/>
                <w:color w:val="auto"/>
              </w:rPr>
            </w:pPr>
          </w:p>
        </w:tc>
      </w:tr>
      <w:tr>
        <w:trPr>
          <w:trHeight w:val="20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6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ind w:right="807"/>
              <w:spacing w:after="0"/>
              <w:rPr>
                <w:sz w:val="20"/>
                <w:szCs w:val="20"/>
                <w:color w:val="auto"/>
              </w:rPr>
            </w:pPr>
            <w:r>
              <w:rPr>
                <w:rFonts w:ascii="Times New Roman" w:cs="Times New Roman" w:eastAsia="Times New Roman" w:hAnsi="Times New Roman"/>
                <w:sz w:val="14"/>
                <w:szCs w:val="14"/>
                <w:color w:val="auto"/>
              </w:rPr>
              <w:t>70,578</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70,578</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115,005</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115,005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58"/>
        </w:trPr>
        <w:tc>
          <w:tcPr>
            <w:tcW w:w="4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jc w:val="right"/>
              <w:ind w:right="347"/>
              <w:spacing w:after="0"/>
              <w:rPr>
                <w:sz w:val="20"/>
                <w:szCs w:val="20"/>
                <w:color w:val="auto"/>
              </w:rPr>
            </w:pPr>
            <w:r>
              <w:rPr>
                <w:rFonts w:ascii="Times New Roman" w:cs="Times New Roman" w:eastAsia="Times New Roman" w:hAnsi="Times New Roman"/>
                <w:sz w:val="18"/>
                <w:szCs w:val="18"/>
                <w:color w:val="auto"/>
              </w:rPr>
              <w:t>F-46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274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Corrected Consolidated Statements of Cash Flows (Unaudited) -</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transactions: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issuance costs</w:t>
            </w:r>
          </w:p>
        </w:tc>
        <w:tc>
          <w:tcPr>
            <w:tcW w:w="11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133</w:t>
            </w:r>
          </w:p>
        </w:tc>
        <w:tc>
          <w:tcPr>
            <w:tcW w:w="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w:t>
            </w:r>
          </w:p>
        </w:tc>
        <w:tc>
          <w:tcPr>
            <w:tcW w:w="60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69</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1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2,637</w:t>
            </w:r>
          </w:p>
        </w:tc>
        <w:tc>
          <w:tcPr>
            <w:tcW w:w="7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2,637</w:t>
            </w:r>
          </w:p>
        </w:tc>
        <w:tc>
          <w:tcPr>
            <w:tcW w:w="6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491</w:t>
            </w:r>
          </w:p>
        </w:tc>
        <w:tc>
          <w:tcPr>
            <w:tcW w:w="7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Right-of-use assets related to operating leases</w:t>
            </w:r>
          </w:p>
        </w:tc>
        <w:tc>
          <w:tcPr>
            <w:tcW w:w="11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2,918</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80" w:type="dxa"/>
            <w:vAlign w:val="bottom"/>
            <w:gridSpan w:val="6"/>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
        </w:trPr>
        <w:tc>
          <w:tcPr>
            <w:tcW w:w="43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9"/>
        </w:trPr>
        <w:tc>
          <w:tcPr>
            <w:tcW w:w="43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88"/>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Corrected Consolidated Statements of Cash Flows (Unaudited)</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previously reported Adjustment</w:t>
            </w:r>
          </w:p>
        </w:tc>
        <w:tc>
          <w:tcPr>
            <w:tcW w:w="4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As Restated</w:t>
            </w:r>
          </w:p>
        </w:tc>
        <w:tc>
          <w:tcPr>
            <w:tcW w:w="8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previously reported Adjustment</w:t>
            </w:r>
          </w:p>
        </w:tc>
        <w:tc>
          <w:tcPr>
            <w:tcW w:w="44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Restated</w:t>
            </w:r>
          </w:p>
        </w:tc>
      </w:tr>
      <w:tr>
        <w:trPr>
          <w:trHeight w:val="28"/>
        </w:trPr>
        <w:tc>
          <w:tcPr>
            <w:tcW w:w="4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95"/>
        </w:trPr>
        <w:tc>
          <w:tcPr>
            <w:tcW w:w="4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(53,585)</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(52,108)</w:t>
            </w:r>
          </w:p>
        </w:tc>
        <w:tc>
          <w:tcPr>
            <w:tcW w:w="80" w:type="dxa"/>
            <w:vAlign w:val="bottom"/>
          </w:tcPr>
          <w:p>
            <w:pPr>
              <w:spacing w:after="0"/>
              <w:rPr>
                <w:sz w:val="16"/>
                <w:szCs w:val="16"/>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(59,412)</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(4,998)</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(64,410)</w:t>
            </w:r>
          </w:p>
        </w:tc>
      </w:tr>
      <w:tr>
        <w:trPr>
          <w:trHeight w:val="21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95"/>
        </w:trPr>
        <w:tc>
          <w:tcPr>
            <w:tcW w:w="4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80" w:type="dxa"/>
            <w:vAlign w:val="bottom"/>
          </w:tcPr>
          <w:p>
            <w:pPr>
              <w:spacing w:after="0"/>
              <w:rPr>
                <w:sz w:val="16"/>
                <w:szCs w:val="16"/>
                <w:color w:val="auto"/>
              </w:rPr>
            </w:pPr>
          </w:p>
        </w:tc>
        <w:tc>
          <w:tcPr>
            <w:tcW w:w="158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525</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307</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210"/>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(accretion) on marketable securities</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(182)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interest expense</w:t>
            </w:r>
          </w:p>
        </w:tc>
        <w:tc>
          <w:tcPr>
            <w:tcW w:w="480" w:type="dxa"/>
            <w:vAlign w:val="bottom"/>
          </w:tcPr>
          <w:p>
            <w:pPr>
              <w:spacing w:after="0"/>
              <w:rPr>
                <w:sz w:val="16"/>
                <w:szCs w:val="16"/>
                <w:color w:val="auto"/>
              </w:rPr>
            </w:pPr>
          </w:p>
        </w:tc>
        <w:tc>
          <w:tcPr>
            <w:tcW w:w="158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87</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58</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10"/>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Non-cash lease expense</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401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463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r>
      <w:tr>
        <w:trPr>
          <w:trHeight w:val="195"/>
        </w:trPr>
        <w:tc>
          <w:tcPr>
            <w:tcW w:w="4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(income) expense from collaborative arrangements, net</w:t>
            </w:r>
          </w:p>
        </w:tc>
        <w:tc>
          <w:tcPr>
            <w:tcW w:w="480" w:type="dxa"/>
            <w:vAlign w:val="bottom"/>
          </w:tcPr>
          <w:p>
            <w:pPr>
              <w:spacing w:after="0"/>
              <w:rPr>
                <w:sz w:val="16"/>
                <w:szCs w:val="16"/>
                <w:color w:val="auto"/>
              </w:rPr>
            </w:pPr>
          </w:p>
        </w:tc>
        <w:tc>
          <w:tcPr>
            <w:tcW w:w="158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(1,134)</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4,856</w:t>
            </w:r>
          </w:p>
        </w:tc>
      </w:tr>
      <w:tr>
        <w:trPr>
          <w:trHeight w:val="210"/>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7,495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7,495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7,873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7,873</w:t>
            </w:r>
          </w:p>
        </w:tc>
      </w:tr>
      <w:tr>
        <w:trPr>
          <w:trHeight w:val="195"/>
        </w:trPr>
        <w:tc>
          <w:tcPr>
            <w:tcW w:w="4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 of advance for COVAXIN supply</w:t>
            </w:r>
          </w:p>
        </w:tc>
        <w:tc>
          <w:tcPr>
            <w:tcW w:w="480" w:type="dxa"/>
            <w:vAlign w:val="bottom"/>
          </w:tcPr>
          <w:p>
            <w:pPr>
              <w:spacing w:after="0"/>
              <w:rPr>
                <w:sz w:val="16"/>
                <w:szCs w:val="16"/>
                <w:color w:val="auto"/>
              </w:rPr>
            </w:pPr>
          </w:p>
        </w:tc>
        <w:tc>
          <w:tcPr>
            <w:tcW w:w="158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4,074</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4,074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 on disposal of fixed assets related to COVAXIN</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363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480" w:type="dxa"/>
            <w:vAlign w:val="bottom"/>
          </w:tcPr>
          <w:p>
            <w:pPr>
              <w:spacing w:after="0"/>
              <w:rPr>
                <w:sz w:val="16"/>
                <w:szCs w:val="16"/>
                <w:color w:val="auto"/>
              </w:rPr>
            </w:pPr>
          </w:p>
        </w:tc>
        <w:tc>
          <w:tcPr>
            <w:tcW w:w="158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379</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(673)</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r>
      <w:tr>
        <w:trPr>
          <w:trHeight w:val="21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95"/>
        </w:trPr>
        <w:tc>
          <w:tcPr>
            <w:tcW w:w="4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80" w:type="dxa"/>
            <w:vAlign w:val="bottom"/>
          </w:tcPr>
          <w:p>
            <w:pPr>
              <w:spacing w:after="0"/>
              <w:rPr>
                <w:sz w:val="16"/>
                <w:szCs w:val="16"/>
                <w:color w:val="auto"/>
              </w:rPr>
            </w:pPr>
          </w:p>
        </w:tc>
        <w:tc>
          <w:tcPr>
            <w:tcW w:w="158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132</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1,888</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w:t>
            </w:r>
          </w:p>
        </w:tc>
      </w:tr>
      <w:tr>
        <w:trPr>
          <w:trHeight w:val="210"/>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(10,059)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6,592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w:t>
            </w:r>
          </w:p>
        </w:tc>
      </w:tr>
      <w:tr>
        <w:trPr>
          <w:trHeight w:val="196"/>
        </w:trPr>
        <w:tc>
          <w:tcPr>
            <w:tcW w:w="4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Lease obligations</w:t>
            </w:r>
          </w:p>
        </w:tc>
        <w:tc>
          <w:tcPr>
            <w:tcW w:w="4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rPr>
              <w:t>(382)</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(261)</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20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(50,752)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(50,752)</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(43,165)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(43,165)</w:t>
            </w:r>
          </w:p>
        </w:tc>
      </w:tr>
      <w:tr>
        <w:trPr>
          <w:trHeight w:val="196"/>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9"/>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(3,947)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480" w:type="dxa"/>
            <w:vAlign w:val="bottom"/>
          </w:tcPr>
          <w:p>
            <w:pPr>
              <w:spacing w:after="0"/>
              <w:rPr>
                <w:sz w:val="16"/>
                <w:szCs w:val="16"/>
                <w:color w:val="auto"/>
              </w:rPr>
            </w:pPr>
          </w:p>
        </w:tc>
        <w:tc>
          <w:tcPr>
            <w:tcW w:w="158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17,500</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17,500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(7,754)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(2,433)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w:t>
            </w:r>
          </w:p>
        </w:tc>
      </w:tr>
      <w:tr>
        <w:trPr>
          <w:trHeight w:val="196"/>
        </w:trPr>
        <w:tc>
          <w:tcPr>
            <w:tcW w:w="4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note receivable</w:t>
            </w:r>
          </w:p>
        </w:tc>
        <w:tc>
          <w:tcPr>
            <w:tcW w:w="480" w:type="dxa"/>
            <w:vAlign w:val="bottom"/>
          </w:tcPr>
          <w:p>
            <w:pPr>
              <w:spacing w:after="0"/>
              <w:rPr>
                <w:sz w:val="17"/>
                <w:szCs w:val="17"/>
                <w:color w:val="auto"/>
              </w:rPr>
            </w:pPr>
          </w:p>
        </w:tc>
        <w:tc>
          <w:tcPr>
            <w:tcW w:w="158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60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761</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w:t>
            </w:r>
          </w:p>
        </w:tc>
      </w:tr>
      <w:tr>
        <w:trPr>
          <w:trHeight w:val="202"/>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4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5,799</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5,799</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(1,672)</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r>
      <w:tr>
        <w:trPr>
          <w:trHeight w:val="196"/>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9"/>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20,788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20,788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51,141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51,141</w:t>
            </w:r>
          </w:p>
        </w:tc>
      </w:tr>
      <w:tr>
        <w:trPr>
          <w:trHeight w:val="195"/>
        </w:trPr>
        <w:tc>
          <w:tcPr>
            <w:tcW w:w="4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equity issuance costs</w:t>
            </w:r>
          </w:p>
        </w:tc>
        <w:tc>
          <w:tcPr>
            <w:tcW w:w="480" w:type="dxa"/>
            <w:vAlign w:val="bottom"/>
          </w:tcPr>
          <w:p>
            <w:pPr>
              <w:spacing w:after="0"/>
              <w:rPr>
                <w:sz w:val="16"/>
                <w:szCs w:val="16"/>
                <w:color w:val="auto"/>
              </w:rPr>
            </w:pPr>
          </w:p>
        </w:tc>
        <w:tc>
          <w:tcPr>
            <w:tcW w:w="15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(355)</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(298)</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r>
      <w:tr>
        <w:trPr>
          <w:trHeight w:val="21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500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500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96"/>
        </w:trPr>
        <w:tc>
          <w:tcPr>
            <w:tcW w:w="4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4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rPr>
              <w:t>(68)</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(43)</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20,865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20,865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51,300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51,300</w:t>
            </w:r>
          </w:p>
        </w:tc>
      </w:tr>
      <w:tr>
        <w:trPr>
          <w:trHeight w:val="196"/>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changes in exchange rate on cash and cash equivalents</w:t>
            </w:r>
          </w:p>
        </w:tc>
        <w:tc>
          <w:tcPr>
            <w:tcW w:w="4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30</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2"/>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(24,086)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(24,086)</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6,493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6,493</w:t>
            </w:r>
          </w:p>
        </w:tc>
      </w:tr>
      <w:tr>
        <w:trPr>
          <w:trHeight w:val="196"/>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4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77,563</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77,563</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95,109</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95,109</w:t>
            </w:r>
          </w:p>
        </w:tc>
      </w:tr>
      <w:tr>
        <w:trPr>
          <w:trHeight w:val="221"/>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53,477</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53,477</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101,602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101,602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523240</wp:posOffset>
            </wp:positionV>
            <wp:extent cx="43548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3">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Corrected Consolidated Statements of Cash Flows (Unaudited)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-94615</wp:posOffset>
            </wp:positionV>
            <wp:extent cx="43548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4">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2146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b w:val="1"/>
          <w:bCs w:val="1"/>
          <w:color w:val="auto"/>
        </w:rPr>
        <w:t>transactions: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issuance costs</w:t>
            </w:r>
          </w:p>
        </w:tc>
        <w:tc>
          <w:tcPr>
            <w:tcW w:w="13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w:t>
            </w:r>
          </w:p>
        </w:tc>
        <w:tc>
          <w:tcPr>
            <w:tcW w:w="10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3"/>
        </w:trPr>
        <w:tc>
          <w:tcPr>
            <w:tcW w:w="3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3"/>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3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1,969</w:t>
            </w: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1,969</w:t>
            </w:r>
          </w:p>
        </w:tc>
        <w:tc>
          <w:tcPr>
            <w:tcW w:w="62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1,231</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w:t>
            </w:r>
          </w:p>
        </w:tc>
      </w:tr>
      <w:tr>
        <w:trPr>
          <w:trHeight w:val="195"/>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 assets related to operating leases</w:t>
            </w:r>
          </w:p>
        </w:tc>
        <w:tc>
          <w:tcPr>
            <w:tcW w:w="13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2,916</w:t>
            </w:r>
          </w:p>
        </w:tc>
        <w:tc>
          <w:tcPr>
            <w:tcW w:w="6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w:t>
            </w:r>
          </w:p>
        </w:tc>
      </w:tr>
      <w:tr>
        <w:trPr>
          <w:trHeight w:val="21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13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19</w:t>
            </w:r>
          </w:p>
        </w:tc>
        <w:tc>
          <w:tcPr>
            <w:tcW w:w="10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40"/>
          </w:cols>
          <w:pgMar w:left="320" w:top="337" w:right="339" w:bottom="1440" w:gutter="0" w:footer="0" w:header="0"/>
        </w:sectPr>
      </w:pPr>
    </w:p>
    <w:bookmarkStart w:id="155" w:name="page156"/>
    <w:bookmarkEnd w:id="155"/>
    <w:p>
      <w:pPr>
        <w:ind w:left="2520"/>
        <w:spacing w:after="0"/>
        <w:tabs>
          <w:tab w:leader="none" w:pos="3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65580" cy="4800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1465580" cy="480060"/>
                    </a:xfrm>
                    <a:prstGeom prst="rect">
                      <a:avLst/>
                    </a:prstGeom>
                    <a:noFill/>
                  </pic:spPr>
                </pic:pic>
              </a:graphicData>
            </a:graphic>
          </wp:anchor>
        </w:drawing>
        <w:t>Confidential</w:t>
      </w:r>
      <w:r>
        <w:rPr>
          <w:sz w:val="20"/>
          <w:szCs w:val="20"/>
          <w:color w:val="auto"/>
        </w:rPr>
        <w:tab/>
      </w:r>
      <w:r>
        <w:rPr>
          <w:rFonts w:ascii="Arial" w:cs="Arial" w:eastAsia="Arial" w:hAnsi="Arial"/>
          <w:sz w:val="17"/>
          <w:szCs w:val="17"/>
          <w:color w:val="auto"/>
        </w:rPr>
        <w:t>April 11,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40" w:right="40" w:hanging="2990"/>
        <w:spacing w:after="0" w:line="237" w:lineRule="auto"/>
        <w:tabs>
          <w:tab w:leader="none" w:pos="4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601(b)(10). Such excluded information is not material and the registrant customarily and actually treats as private and confidential.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23"/>
          <w:szCs w:val="23"/>
          <w:b w:val="1"/>
          <w:bCs w:val="1"/>
          <w:color w:val="auto"/>
          <w:vertAlign w:val="superscript"/>
        </w:rPr>
        <w:t>rd</w:t>
      </w:r>
      <w:r>
        <w:rPr>
          <w:rFonts w:ascii="Arial" w:cs="Arial" w:eastAsia="Arial" w:hAnsi="Arial"/>
          <w:sz w:val="18"/>
          <w:szCs w:val="18"/>
          <w:b w:val="1"/>
          <w:bCs w:val="1"/>
          <w:color w:val="auto"/>
        </w:rPr>
        <w:t xml:space="preserve"> Amendment to Co-Development and Commercialization Agreement</w:t>
      </w:r>
    </w:p>
    <w:p>
      <w:pPr>
        <w:spacing w:after="0" w:line="20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This 3rd Amendment to Co-Development and Commercialization Agreement (“3rd Amendment”) dated April 11,2023, is made by and between Ocugen, Inc., now with an address at 11 Great Valley Parkway, Malvern, PA 19355 (“Ocugen”), and CanSino Biologics Inc., whose registered office address is at 185 South Ave, TEDA West District, Tianjin, 300457, China (“CanSino”). Ocugen and CanSino are hereinafter referred to individually as a “Party” and collectively as the “Parties.” Capitalized terms that are not defined herein shall have the meaning ascribed to them in the Collaboration Agreement (as defined below).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WHEREAS, the Parties entered into that certain Co-Development and Commercialization Agreement effective as of September 27, 2019 (the “Original Collaboration Agreement”), as amended by that certain 1st Amendment to the Co-Development and Commercialization Agreement effective as of September 30, 2021 (“First Amendment”), and certain 2nd Amendment to the Original Collaboration Agreement effective as of November 21,2022 (“Second Amendment”). The First Amendment and Second Amendment, together with the Original Collaboration Agreement, are called as the “Collaboration Agreement”.</w:t>
      </w:r>
    </w:p>
    <w:p>
      <w:pPr>
        <w:spacing w:after="0" w:line="174" w:lineRule="exact"/>
        <w:rPr>
          <w:sz w:val="20"/>
          <w:szCs w:val="20"/>
          <w:color w:val="auto"/>
        </w:rPr>
      </w:pPr>
    </w:p>
    <w:p>
      <w:pPr>
        <w:jc w:val="both"/>
        <w:ind w:firstLine="648"/>
        <w:spacing w:after="0" w:line="378" w:lineRule="auto"/>
        <w:rPr>
          <w:sz w:val="20"/>
          <w:szCs w:val="20"/>
          <w:color w:val="auto"/>
        </w:rPr>
      </w:pPr>
      <w:r>
        <w:rPr>
          <w:rFonts w:ascii="Arial" w:cs="Arial" w:eastAsia="Arial" w:hAnsi="Arial"/>
          <w:sz w:val="18"/>
          <w:szCs w:val="18"/>
          <w:color w:val="auto"/>
        </w:rPr>
        <w:t>Whereas, CanSinoBIO and Ocugen agree to, pursuant to Collaboration Agreement, purchase the ultracentrifuge (Beckman Optima XPN-100 ultracentrifuge) for the manufacturing of the Product, and amend the Collaboration Agreement correspondingly as further described herein.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the Parties agree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CLAUSES</w:t>
      </w:r>
    </w:p>
    <w:p>
      <w:pPr>
        <w:spacing w:after="0" w:line="185"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w:t>
      </w:r>
    </w:p>
    <w:p>
      <w:pPr>
        <w:spacing w:after="0" w:line="252" w:lineRule="exact"/>
        <w:rPr>
          <w:rFonts w:ascii="Arial" w:cs="Arial" w:eastAsia="Arial" w:hAnsi="Arial"/>
          <w:sz w:val="18"/>
          <w:szCs w:val="18"/>
          <w:b w:val="1"/>
          <w:bCs w:val="1"/>
          <w:color w:val="auto"/>
        </w:rPr>
      </w:pPr>
    </w:p>
    <w:p>
      <w:pPr>
        <w:jc w:val="both"/>
        <w:ind w:left="660"/>
        <w:spacing w:after="0" w:line="386" w:lineRule="auto"/>
        <w:rPr>
          <w:rFonts w:ascii="Arial" w:cs="Arial" w:eastAsia="Arial" w:hAnsi="Arial"/>
          <w:sz w:val="18"/>
          <w:szCs w:val="18"/>
          <w:b w:val="1"/>
          <w:bCs w:val="1"/>
          <w:color w:val="auto"/>
        </w:rPr>
      </w:pPr>
      <w:r>
        <w:rPr>
          <w:rFonts w:ascii="Arial" w:cs="Arial" w:eastAsia="Arial" w:hAnsi="Arial"/>
          <w:sz w:val="18"/>
          <w:szCs w:val="18"/>
          <w:color w:val="auto"/>
        </w:rPr>
        <w:t>The terms used in this Addendum shall have the same meanings as are attributed to them under the Agreement unless otherwise defined in this Addendum, in which case the definitions given herein shall replace or prevail over (as the case may be) those given in the Addendum.</w:t>
      </w:r>
    </w:p>
    <w:p>
      <w:pPr>
        <w:spacing w:after="0" w:line="94" w:lineRule="exact"/>
        <w:rPr>
          <w:rFonts w:ascii="Arial" w:cs="Arial" w:eastAsia="Arial" w:hAnsi="Arial"/>
          <w:sz w:val="18"/>
          <w:szCs w:val="18"/>
          <w:b w:val="1"/>
          <w:bCs w:val="1"/>
          <w:color w:val="auto"/>
        </w:rPr>
      </w:pPr>
    </w:p>
    <w:p>
      <w:pPr>
        <w:ind w:left="640" w:hanging="632"/>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w:t>
      </w:r>
    </w:p>
    <w:p>
      <w:pPr>
        <w:spacing w:after="0" w:line="252" w:lineRule="exact"/>
        <w:rPr>
          <w:rFonts w:ascii="Arial" w:cs="Arial" w:eastAsia="Arial" w:hAnsi="Arial"/>
          <w:sz w:val="18"/>
          <w:szCs w:val="18"/>
          <w:b w:val="1"/>
          <w:bCs w:val="1"/>
          <w:color w:val="auto"/>
        </w:rPr>
      </w:pPr>
    </w:p>
    <w:p>
      <w:pPr>
        <w:jc w:val="both"/>
        <w:ind w:left="660"/>
        <w:spacing w:after="0" w:line="386" w:lineRule="auto"/>
        <w:rPr>
          <w:rFonts w:ascii="Arial" w:cs="Arial" w:eastAsia="Arial" w:hAnsi="Arial"/>
          <w:sz w:val="18"/>
          <w:szCs w:val="18"/>
          <w:b w:val="1"/>
          <w:bCs w:val="1"/>
          <w:color w:val="auto"/>
        </w:rPr>
      </w:pPr>
      <w:r>
        <w:rPr>
          <w:rFonts w:ascii="Arial" w:cs="Arial" w:eastAsia="Arial" w:hAnsi="Arial"/>
          <w:sz w:val="18"/>
          <w:szCs w:val="18"/>
          <w:color w:val="auto"/>
        </w:rPr>
        <w:t>In order to facilitate the development and manufacturing of the Product, the Parties agree to purchase the ultracentrifuge (Beckman Optima XPN-100 ultracentrifuge) which values [***] CNY (equals to [***] USD) (“Equipment”) in the name of CanSino, and Ocugen agrees to reimburse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ACTIVE/127710880.3</w:t>
      </w:r>
    </w:p>
    <w:p>
      <w:pPr>
        <w:sectPr>
          <w:pgSz w:w="11900" w:h="16838" w:orient="portrait"/>
          <w:cols w:equalWidth="0" w:num="1">
            <w:col w:w="11240"/>
          </w:cols>
          <w:pgMar w:left="320" w:top="769" w:right="339" w:bottom="1440" w:gutter="0" w:footer="0" w:header="0"/>
        </w:sectPr>
      </w:pPr>
    </w:p>
    <w:bookmarkStart w:id="156" w:name="page157"/>
    <w:bookmarkEnd w:id="156"/>
    <w:p>
      <w:pPr>
        <w:ind w:left="2520"/>
        <w:spacing w:after="0"/>
        <w:tabs>
          <w:tab w:leader="none" w:pos="3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65580" cy="4800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1465580" cy="480060"/>
                    </a:xfrm>
                    <a:prstGeom prst="rect">
                      <a:avLst/>
                    </a:prstGeom>
                    <a:noFill/>
                  </pic:spPr>
                </pic:pic>
              </a:graphicData>
            </a:graphic>
          </wp:anchor>
        </w:drawing>
        <w:t>Confidential</w:t>
      </w:r>
      <w:r>
        <w:rPr>
          <w:sz w:val="20"/>
          <w:szCs w:val="20"/>
          <w:color w:val="auto"/>
        </w:rPr>
        <w:tab/>
      </w:r>
      <w:r>
        <w:rPr>
          <w:rFonts w:ascii="Arial" w:cs="Arial" w:eastAsia="Arial" w:hAnsi="Arial"/>
          <w:sz w:val="17"/>
          <w:szCs w:val="17"/>
          <w:color w:val="auto"/>
        </w:rPr>
        <w:t>April 11,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CanSino for [***]% value of Equipment and [***]% Value-added tax (Withhold) as the development cost of Product, which equals to</w:t>
      </w:r>
    </w:p>
    <w:p>
      <w:pPr>
        <w:spacing w:after="0" w:line="104" w:lineRule="exact"/>
        <w:rPr>
          <w:sz w:val="20"/>
          <w:szCs w:val="20"/>
          <w:color w:val="auto"/>
        </w:rPr>
      </w:pPr>
    </w:p>
    <w:p>
      <w:pPr>
        <w:ind w:left="1020" w:hanging="364"/>
        <w:spacing w:after="0"/>
        <w:tabs>
          <w:tab w:leader="none" w:pos="10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USD within thirty (30) days after receiving the invoice.</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66" w:lineRule="exact"/>
        <w:rPr>
          <w:sz w:val="20"/>
          <w:szCs w:val="20"/>
          <w:color w:val="auto"/>
        </w:rPr>
      </w:pPr>
    </w:p>
    <w:p>
      <w:pPr>
        <w:ind w:left="640" w:right="520" w:hanging="647"/>
        <w:spacing w:after="0" w:line="396" w:lineRule="auto"/>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This Addendum is made in two (2) originals with each Party holding one. This Addendum shall constitute an integral part of the Agreement after this Addendum comes into effective.</w:t>
      </w:r>
    </w:p>
    <w:p>
      <w:pPr>
        <w:spacing w:after="0" w:line="15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This Addendum shall constitute an integral part of the Agreement after this Agreement comes into effective.</w:t>
      </w:r>
    </w:p>
    <w:p>
      <w:pPr>
        <w:spacing w:after="0" w:line="320" w:lineRule="exact"/>
        <w:rPr>
          <w:sz w:val="20"/>
          <w:szCs w:val="20"/>
          <w:color w:val="auto"/>
        </w:rPr>
      </w:pPr>
    </w:p>
    <w:p>
      <w:pPr>
        <w:ind w:left="640" w:right="580" w:hanging="647"/>
        <w:spacing w:after="0" w:line="396" w:lineRule="auto"/>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In case of any discrepancy between the Agreement and this Addendum, this Addendum will prevail unless otherwise provided hereunder, the Parties shall perform pursuant to the terms and conditions of this Addendum.</w:t>
      </w:r>
    </w:p>
    <w:p>
      <w:pPr>
        <w:spacing w:after="0" w:line="154" w:lineRule="exact"/>
        <w:rPr>
          <w:sz w:val="20"/>
          <w:szCs w:val="20"/>
          <w:color w:val="auto"/>
        </w:rPr>
      </w:pPr>
    </w:p>
    <w:p>
      <w:pPr>
        <w:ind w:left="640" w:hanging="647"/>
        <w:spacing w:after="0" w:line="412" w:lineRule="auto"/>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No further modification to the Agreement and this Addendum shall be binding upon the Parties unless it is made in writing and signed by duly authorized representatives of the Parties.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0" w:type="dxa"/>
            <w:vAlign w:val="bottom"/>
          </w:tcPr>
          <w:p>
            <w:pPr>
              <w:ind w:left="80"/>
              <w:spacing w:after="0"/>
              <w:rPr>
                <w:sz w:val="20"/>
                <w:szCs w:val="20"/>
                <w:color w:val="auto"/>
              </w:rPr>
            </w:pPr>
            <w:r>
              <w:rPr>
                <w:rFonts w:ascii="Arial" w:cs="Arial" w:eastAsia="Arial" w:hAnsi="Arial"/>
                <w:sz w:val="18"/>
                <w:szCs w:val="18"/>
                <w:b w:val="1"/>
                <w:bCs w:val="1"/>
                <w:color w:val="auto"/>
              </w:rPr>
              <w:t>Ocugen, Inc.</w:t>
            </w:r>
          </w:p>
        </w:tc>
        <w:tc>
          <w:tcPr>
            <w:tcW w:w="7440" w:type="dxa"/>
            <w:vAlign w:val="bottom"/>
          </w:tcPr>
          <w:p>
            <w:pPr>
              <w:ind w:left="1900"/>
              <w:spacing w:after="0"/>
              <w:rPr>
                <w:sz w:val="20"/>
                <w:szCs w:val="20"/>
                <w:color w:val="auto"/>
              </w:rPr>
            </w:pPr>
            <w:r>
              <w:rPr>
                <w:rFonts w:ascii="Arial" w:cs="Arial" w:eastAsia="Arial" w:hAnsi="Arial"/>
                <w:sz w:val="18"/>
                <w:szCs w:val="18"/>
                <w:b w:val="1"/>
                <w:bCs w:val="1"/>
                <w:color w:val="auto"/>
              </w:rPr>
              <w:t>CanSino Biologics Inc.</w:t>
            </w:r>
          </w:p>
        </w:tc>
      </w:tr>
      <w:tr>
        <w:trPr>
          <w:trHeight w:val="235"/>
        </w:trPr>
        <w:tc>
          <w:tcPr>
            <w:tcW w:w="3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/s/Shankar Musunuri</w:t>
            </w:r>
          </w:p>
        </w:tc>
        <w:tc>
          <w:tcPr>
            <w:tcW w:w="744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/s/Shoubai Chao</w:t>
            </w:r>
          </w:p>
        </w:tc>
      </w:tr>
      <w:tr>
        <w:trPr>
          <w:trHeight w:val="218"/>
        </w:trPr>
        <w:tc>
          <w:tcPr>
            <w:tcW w:w="3800" w:type="dxa"/>
            <w:vAlign w:val="bottom"/>
          </w:tcPr>
          <w:p>
            <w:pPr>
              <w:ind w:left="80"/>
              <w:spacing w:after="0"/>
              <w:rPr>
                <w:sz w:val="20"/>
                <w:szCs w:val="20"/>
                <w:color w:val="auto"/>
              </w:rPr>
            </w:pPr>
            <w:r>
              <w:rPr>
                <w:rFonts w:ascii="Arial" w:cs="Arial" w:eastAsia="Arial" w:hAnsi="Arial"/>
                <w:sz w:val="18"/>
                <w:szCs w:val="18"/>
                <w:color w:val="auto"/>
              </w:rPr>
              <w:t>Signature</w:t>
            </w:r>
          </w:p>
        </w:tc>
        <w:tc>
          <w:tcPr>
            <w:tcW w:w="7440" w:type="dxa"/>
            <w:vAlign w:val="bottom"/>
          </w:tcPr>
          <w:p>
            <w:pPr>
              <w:ind w:left="1900"/>
              <w:spacing w:after="0"/>
              <w:rPr>
                <w:sz w:val="20"/>
                <w:szCs w:val="20"/>
                <w:color w:val="auto"/>
              </w:rPr>
            </w:pPr>
            <w:r>
              <w:rPr>
                <w:rFonts w:ascii="Arial" w:cs="Arial" w:eastAsia="Arial" w:hAnsi="Arial"/>
                <w:sz w:val="18"/>
                <w:szCs w:val="18"/>
                <w:color w:val="auto"/>
              </w:rPr>
              <w:t>Signature</w:t>
            </w:r>
          </w:p>
        </w:tc>
      </w:tr>
      <w:tr>
        <w:trPr>
          <w:trHeight w:val="235"/>
        </w:trPr>
        <w:tc>
          <w:tcPr>
            <w:tcW w:w="3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Shankar Musunuri</w:t>
            </w:r>
          </w:p>
        </w:tc>
        <w:tc>
          <w:tcPr>
            <w:tcW w:w="744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Shoubai Chao</w:t>
            </w:r>
          </w:p>
        </w:tc>
      </w:tr>
      <w:tr>
        <w:trPr>
          <w:trHeight w:val="218"/>
        </w:trPr>
        <w:tc>
          <w:tcPr>
            <w:tcW w:w="3800" w:type="dxa"/>
            <w:vAlign w:val="bottom"/>
          </w:tcPr>
          <w:p>
            <w:pPr>
              <w:ind w:left="80"/>
              <w:spacing w:after="0"/>
              <w:rPr>
                <w:sz w:val="20"/>
                <w:szCs w:val="20"/>
                <w:color w:val="auto"/>
              </w:rPr>
            </w:pPr>
            <w:r>
              <w:rPr>
                <w:rFonts w:ascii="Arial" w:cs="Arial" w:eastAsia="Arial" w:hAnsi="Arial"/>
                <w:sz w:val="18"/>
                <w:szCs w:val="18"/>
                <w:color w:val="auto"/>
              </w:rPr>
              <w:t>Print name</w:t>
            </w:r>
          </w:p>
        </w:tc>
        <w:tc>
          <w:tcPr>
            <w:tcW w:w="7440" w:type="dxa"/>
            <w:vAlign w:val="bottom"/>
          </w:tcPr>
          <w:p>
            <w:pPr>
              <w:ind w:left="1900"/>
              <w:spacing w:after="0"/>
              <w:rPr>
                <w:sz w:val="20"/>
                <w:szCs w:val="20"/>
                <w:color w:val="auto"/>
              </w:rPr>
            </w:pPr>
            <w:r>
              <w:rPr>
                <w:rFonts w:ascii="Arial" w:cs="Arial" w:eastAsia="Arial" w:hAnsi="Arial"/>
                <w:sz w:val="18"/>
                <w:szCs w:val="18"/>
                <w:color w:val="auto"/>
              </w:rPr>
              <w:t>Print name</w:t>
            </w:r>
          </w:p>
        </w:tc>
      </w:tr>
      <w:tr>
        <w:trPr>
          <w:trHeight w:val="235"/>
        </w:trPr>
        <w:tc>
          <w:tcPr>
            <w:tcW w:w="3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Chief Executive Officer</w:t>
            </w:r>
          </w:p>
        </w:tc>
        <w:tc>
          <w:tcPr>
            <w:tcW w:w="744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Chief Operating Officer</w:t>
            </w:r>
          </w:p>
        </w:tc>
      </w:tr>
      <w:tr>
        <w:trPr>
          <w:trHeight w:val="218"/>
        </w:trPr>
        <w:tc>
          <w:tcPr>
            <w:tcW w:w="3800" w:type="dxa"/>
            <w:vAlign w:val="bottom"/>
          </w:tcPr>
          <w:p>
            <w:pPr>
              <w:ind w:left="80"/>
              <w:spacing w:after="0"/>
              <w:rPr>
                <w:sz w:val="20"/>
                <w:szCs w:val="20"/>
                <w:color w:val="auto"/>
              </w:rPr>
            </w:pPr>
            <w:r>
              <w:rPr>
                <w:rFonts w:ascii="Arial" w:cs="Arial" w:eastAsia="Arial" w:hAnsi="Arial"/>
                <w:sz w:val="18"/>
                <w:szCs w:val="18"/>
                <w:color w:val="auto"/>
              </w:rPr>
              <w:t>Title</w:t>
            </w:r>
          </w:p>
        </w:tc>
        <w:tc>
          <w:tcPr>
            <w:tcW w:w="7440" w:type="dxa"/>
            <w:vAlign w:val="bottom"/>
          </w:tcPr>
          <w:p>
            <w:pPr>
              <w:ind w:left="1900"/>
              <w:spacing w:after="0"/>
              <w:rPr>
                <w:sz w:val="20"/>
                <w:szCs w:val="20"/>
                <w:color w:val="auto"/>
              </w:rPr>
            </w:pPr>
            <w:r>
              <w:rPr>
                <w:rFonts w:ascii="Arial" w:cs="Arial" w:eastAsia="Arial" w:hAnsi="Arial"/>
                <w:sz w:val="18"/>
                <w:szCs w:val="18"/>
                <w:color w:val="auto"/>
              </w:rPr>
              <w:t>Title</w:t>
            </w:r>
          </w:p>
        </w:tc>
      </w:tr>
      <w:tr>
        <w:trPr>
          <w:trHeight w:val="235"/>
        </w:trPr>
        <w:tc>
          <w:tcPr>
            <w:tcW w:w="3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4.11.2023</w:t>
            </w:r>
          </w:p>
        </w:tc>
        <w:tc>
          <w:tcPr>
            <w:tcW w:w="744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April 17, 2023</w:t>
            </w:r>
          </w:p>
        </w:tc>
      </w:tr>
      <w:tr>
        <w:trPr>
          <w:trHeight w:val="232"/>
        </w:trPr>
        <w:tc>
          <w:tcPr>
            <w:tcW w:w="3800" w:type="dxa"/>
            <w:vAlign w:val="bottom"/>
          </w:tcPr>
          <w:p>
            <w:pPr>
              <w:ind w:left="80"/>
              <w:spacing w:after="0"/>
              <w:rPr>
                <w:sz w:val="20"/>
                <w:szCs w:val="20"/>
                <w:color w:val="auto"/>
              </w:rPr>
            </w:pPr>
            <w:r>
              <w:rPr>
                <w:rFonts w:ascii="Arial" w:cs="Arial" w:eastAsia="Arial" w:hAnsi="Arial"/>
                <w:sz w:val="18"/>
                <w:szCs w:val="18"/>
                <w:color w:val="auto"/>
              </w:rPr>
              <w:t>Date</w:t>
            </w:r>
          </w:p>
        </w:tc>
        <w:tc>
          <w:tcPr>
            <w:tcW w:w="7440" w:type="dxa"/>
            <w:vAlign w:val="bottom"/>
          </w:tcPr>
          <w:p>
            <w:pPr>
              <w:ind w:left="190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ACTIVE/127710880.3</w:t>
      </w:r>
    </w:p>
    <w:p>
      <w:pPr>
        <w:sectPr>
          <w:pgSz w:w="11900" w:h="16838" w:orient="portrait"/>
          <w:cols w:equalWidth="0" w:num="1">
            <w:col w:w="11240"/>
          </w:cols>
          <w:pgMar w:left="320" w:top="769" w:right="339" w:bottom="1440" w:gutter="0" w:footer="0" w:header="0"/>
        </w:sectPr>
      </w:pPr>
    </w:p>
    <w:bookmarkStart w:id="157" w:name="page158"/>
    <w:bookmarkEnd w:id="157"/>
    <w:p>
      <w:pPr>
        <w:ind w:left="1140" w:right="280" w:hanging="843"/>
        <w:spacing w:after="0" w:line="255" w:lineRule="auto"/>
        <w:tabs>
          <w:tab w:leader="none" w:pos="813"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Certain information in this document has been excluded pursuant to Regulation S-K, Item 601(b)(10). Such excluded information is not material and the registrant customarily and actually treats as private and confidential.</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Second Amendment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EXCLUSIVE LICENSE AGREEMENT</w:t>
      </w:r>
    </w:p>
    <w:p>
      <w:pPr>
        <w:jc w:val="center"/>
        <w:spacing w:after="0" w:line="205" w:lineRule="auto"/>
        <w:rPr>
          <w:sz w:val="20"/>
          <w:szCs w:val="20"/>
          <w:color w:val="auto"/>
        </w:rPr>
      </w:pPr>
      <w:r>
        <w:rPr>
          <w:rFonts w:ascii="Times New Roman" w:cs="Times New Roman" w:eastAsia="Times New Roman" w:hAnsi="Times New Roman"/>
          <w:sz w:val="22"/>
          <w:szCs w:val="22"/>
          <w:b w:val="1"/>
          <w:bCs w:val="1"/>
          <w:color w:val="auto"/>
        </w:rPr>
        <w:t>between</w:t>
      </w:r>
    </w:p>
    <w:p>
      <w:pPr>
        <w:jc w:val="center"/>
        <w:spacing w:after="0" w:line="205" w:lineRule="auto"/>
        <w:rPr>
          <w:sz w:val="20"/>
          <w:szCs w:val="20"/>
          <w:color w:val="auto"/>
        </w:rPr>
      </w:pPr>
      <w:r>
        <w:rPr>
          <w:rFonts w:ascii="Times New Roman" w:cs="Times New Roman" w:eastAsia="Times New Roman" w:hAnsi="Times New Roman"/>
          <w:sz w:val="22"/>
          <w:szCs w:val="22"/>
          <w:b w:val="1"/>
          <w:bCs w:val="1"/>
          <w:color w:val="auto"/>
        </w:rPr>
        <w:t>The Washington University|</w:t>
      </w:r>
    </w:p>
    <w:p>
      <w:pPr>
        <w:jc w:val="center"/>
        <w:spacing w:after="0" w:line="205" w:lineRule="auto"/>
        <w:rPr>
          <w:sz w:val="20"/>
          <w:szCs w:val="20"/>
          <w:color w:val="auto"/>
        </w:rPr>
      </w:pPr>
      <w:r>
        <w:rPr>
          <w:rFonts w:ascii="Times New Roman" w:cs="Times New Roman" w:eastAsia="Times New Roman" w:hAnsi="Times New Roman"/>
          <w:sz w:val="22"/>
          <w:szCs w:val="22"/>
          <w:b w:val="1"/>
          <w:bCs w:val="1"/>
          <w:color w:val="auto"/>
        </w:rPr>
        <w:t>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Ocugen, Inc.</w:t>
      </w:r>
    </w:p>
    <w:p>
      <w:pPr>
        <w:spacing w:after="0" w:line="15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This second amendment (“Second Amendment”) to the Exclusive License Agreement, WU Contract Number A2023-0203, is effective as of the date of the last signature below (“Second Amendment Effective Date”), by and between The Washington University, through its Office of Technology Management having its principal office at 4240 Duncan Avenue, Suite 110, St. Louis, MO 63110 (hereinafter referred to as “WU”), and Ocugen, Inc., having its principal office at 11 Great Valley Parkway, Malvern, PA 19355 and its affiliates (hereinafter and collectively referred to as “Licensee”). WU and Licensee are referred to herein individually as a “Party” and collectively as the “Parties” of this Second Amendment. Capitalized terms that are not defined herein shall have the meaning ascribed to them in the Agreement (as defined below).</w:t>
      </w:r>
    </w:p>
    <w:p>
      <w:pPr>
        <w:spacing w:after="0" w:line="15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WHEREAS, the Parties made and entered into that certain Exclusive License Agreement, WU Contract Number A2023-0203 as of September 23, 2022 (as amended by that certain First Amendment to the Exclusive License Agreement by and between the Parties effective as of January 31, 2023, the “Agreement”);</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WHEREAS, the Parties wish to amend the Agreement to (i) modify Territory to include Hong Kong, and (ii) update Patent Rights under Schedule C;</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herein contained, WU and Licensee hereby agree to amend the Agreement as follows:</w:t>
      </w:r>
    </w:p>
    <w:p>
      <w:pPr>
        <w:spacing w:after="0" w:line="146" w:lineRule="exact"/>
        <w:rPr>
          <w:sz w:val="20"/>
          <w:szCs w:val="20"/>
          <w:color w:val="auto"/>
        </w:rPr>
      </w:pPr>
    </w:p>
    <w:p>
      <w:pPr>
        <w:ind w:left="660" w:right="3400" w:hanging="328"/>
        <w:spacing w:after="0" w:line="411"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Under </w:t>
      </w:r>
      <w:r>
        <w:rPr>
          <w:rFonts w:ascii="Times New Roman" w:cs="Times New Roman" w:eastAsia="Times New Roman" w:hAnsi="Times New Roman"/>
          <w:sz w:val="22"/>
          <w:szCs w:val="22"/>
          <w:b w:val="1"/>
          <w:bCs w:val="1"/>
          <w:color w:val="auto"/>
        </w:rPr>
        <w:t>SUMMARY OF TERMS</w:t>
      </w:r>
      <w:r>
        <w:rPr>
          <w:rFonts w:ascii="Times New Roman" w:cs="Times New Roman" w:eastAsia="Times New Roman" w:hAnsi="Times New Roman"/>
          <w:sz w:val="22"/>
          <w:szCs w:val="22"/>
          <w:color w:val="auto"/>
        </w:rPr>
        <w:t>, the following term shall be amended as follows: “</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US, Europe, Japan, South Korea, Australia, and China”</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deleted in its entirety and replaced with the following:</w:t>
      </w:r>
    </w:p>
    <w:p>
      <w:pPr>
        <w:spacing w:after="0" w:line="175"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US, Europe, Japan, South Korea, Australia, China, and Hong Kong”</w:t>
      </w:r>
    </w:p>
    <w:p>
      <w:pPr>
        <w:spacing w:after="0" w:line="395" w:lineRule="exact"/>
        <w:rPr>
          <w:rFonts w:ascii="Times New Roman" w:cs="Times New Roman" w:eastAsia="Times New Roman" w:hAnsi="Times New Roman"/>
          <w:sz w:val="22"/>
          <w:szCs w:val="22"/>
          <w:color w:val="auto"/>
        </w:rPr>
      </w:pPr>
    </w:p>
    <w:p>
      <w:pPr>
        <w:ind w:left="660" w:right="20" w:hanging="328"/>
        <w:spacing w:after="0" w:line="238"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Schedule C </w:t>
      </w:r>
      <w:r>
        <w:rPr>
          <w:rFonts w:ascii="Times New Roman" w:cs="Times New Roman" w:eastAsia="Times New Roman" w:hAnsi="Times New Roman"/>
          <w:sz w:val="22"/>
          <w:szCs w:val="22"/>
          <w:color w:val="auto"/>
        </w:rPr>
        <w:t>of the Agreement is hereby amended by deleting</w:t>
      </w:r>
      <w:r>
        <w:rPr>
          <w:rFonts w:ascii="Times New Roman" w:cs="Times New Roman" w:eastAsia="Times New Roman" w:hAnsi="Times New Roman"/>
          <w:sz w:val="22"/>
          <w:szCs w:val="22"/>
          <w:b w:val="1"/>
          <w:bCs w:val="1"/>
          <w:color w:val="auto"/>
        </w:rPr>
        <w:t xml:space="preserve"> Schedule C </w:t>
      </w:r>
      <w:r>
        <w:rPr>
          <w:rFonts w:ascii="Times New Roman" w:cs="Times New Roman" w:eastAsia="Times New Roman" w:hAnsi="Times New Roman"/>
          <w:sz w:val="22"/>
          <w:szCs w:val="22"/>
          <w:color w:val="auto"/>
        </w:rPr>
        <w:t>in its entirety and replacing it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following new </w:t>
      </w:r>
      <w:r>
        <w:rPr>
          <w:rFonts w:ascii="Times New Roman" w:cs="Times New Roman" w:eastAsia="Times New Roman" w:hAnsi="Times New Roman"/>
          <w:sz w:val="22"/>
          <w:szCs w:val="22"/>
          <w:b w:val="1"/>
          <w:bCs w:val="1"/>
          <w:color w:val="auto"/>
        </w:rPr>
        <w:t>Schedule C</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C</w:t>
      </w:r>
    </w:p>
    <w:p>
      <w:pPr>
        <w:spacing w:after="0" w:line="179" w:lineRule="exact"/>
        <w:rPr>
          <w:sz w:val="20"/>
          <w:szCs w:val="20"/>
          <w:color w:val="auto"/>
        </w:rPr>
      </w:pPr>
    </w:p>
    <w:p>
      <w:pPr>
        <w:ind w:left="1300" w:hanging="320"/>
        <w:spacing w:after="0"/>
        <w:tabs>
          <w:tab w:leader="none" w:pos="13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Patent Rights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300" w:hanging="320"/>
        <w:spacing w:after="0"/>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Tangible Research Property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ACTIVE/127698991.3</w:t>
      </w:r>
    </w:p>
    <w:p>
      <w:pPr>
        <w:sectPr>
          <w:pgSz w:w="11900" w:h="16838" w:orient="portrait"/>
          <w:cols w:equalWidth="0" w:num="1">
            <w:col w:w="11240"/>
          </w:cols>
          <w:pgMar w:left="320" w:top="1395" w:right="339" w:bottom="1440" w:gutter="0" w:footer="0" w:header="0"/>
        </w:sectPr>
      </w:pPr>
    </w:p>
    <w:bookmarkStart w:id="158" w:name="page159"/>
    <w:bookmarkEnd w:id="158"/>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1280" w:hanging="320"/>
        <w:spacing w:after="0"/>
        <w:tabs>
          <w:tab w:leader="none" w:pos="128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Technical Information</w:t>
      </w:r>
    </w:p>
    <w:p>
      <w:pPr>
        <w:spacing w:after="0" w:line="399" w:lineRule="exact"/>
        <w:rPr>
          <w:rFonts w:ascii="Times New Roman" w:cs="Times New Roman" w:eastAsia="Times New Roman" w:hAnsi="Times New Roman"/>
          <w:sz w:val="22"/>
          <w:szCs w:val="22"/>
          <w:color w:val="auto"/>
        </w:rPr>
      </w:pPr>
    </w:p>
    <w:p>
      <w:pPr>
        <w:ind w:left="640" w:hanging="328"/>
        <w:spacing w:after="0" w:line="236" w:lineRule="auto"/>
        <w:tabs>
          <w:tab w:leader="none" w:pos="6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in this Second Amendment, all other terms, conditions and provisions of the Agreement shall continue in full force and effect as provided therein.</w:t>
      </w:r>
    </w:p>
    <w:p>
      <w:pPr>
        <w:spacing w:after="0" w:line="150" w:lineRule="exact"/>
        <w:rPr>
          <w:rFonts w:ascii="Times New Roman" w:cs="Times New Roman" w:eastAsia="Times New Roman" w:hAnsi="Times New Roman"/>
          <w:sz w:val="22"/>
          <w:szCs w:val="22"/>
          <w:color w:val="auto"/>
        </w:rPr>
      </w:pPr>
    </w:p>
    <w:p>
      <w:pPr>
        <w:ind w:left="640" w:right="20"/>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WITNESS WHEREOF the Parties have caused this Second Amendment to Agreement to be executed and delivered by their duly authorized representatives as of the Second Amendment Effective Date.</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274"/>
        </w:trPr>
        <w:tc>
          <w:tcPr>
            <w:tcW w:w="49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THE WASHINGTON UNIVERSITY</w:t>
            </w:r>
          </w:p>
        </w:tc>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OCUGEN, INC. (LICENSEE)</w:t>
            </w: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/s/ Nichole Mercier November 9, 2023</w:t>
            </w:r>
          </w:p>
        </w:tc>
        <w:tc>
          <w:tcPr>
            <w:tcW w:w="31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 Shankar Musunuri 11/28/2023</w:t>
            </w:r>
          </w:p>
        </w:tc>
        <w:tc>
          <w:tcPr>
            <w:tcW w:w="0" w:type="dxa"/>
            <w:vAlign w:val="bottom"/>
          </w:tcPr>
          <w:p>
            <w:pPr>
              <w:spacing w:after="0"/>
              <w:rPr>
                <w:sz w:val="1"/>
                <w:szCs w:val="1"/>
                <w:color w:val="auto"/>
              </w:rPr>
            </w:pPr>
          </w:p>
        </w:tc>
      </w:tr>
      <w:tr>
        <w:trPr>
          <w:trHeight w:val="276"/>
        </w:trPr>
        <w:tc>
          <w:tcPr>
            <w:tcW w:w="3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Signature  Date</w:t>
            </w:r>
          </w:p>
        </w:tc>
        <w:tc>
          <w:tcPr>
            <w:tcW w:w="1560" w:type="dxa"/>
            <w:vAlign w:val="bottom"/>
          </w:tcPr>
          <w:p>
            <w:pPr>
              <w:spacing w:after="0"/>
              <w:rPr>
                <w:sz w:val="23"/>
                <w:szCs w:val="23"/>
                <w:color w:val="auto"/>
              </w:rPr>
            </w:pPr>
          </w:p>
        </w:tc>
        <w:tc>
          <w:tcPr>
            <w:tcW w:w="3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Signature  Date</w:t>
            </w:r>
          </w:p>
        </w:tc>
        <w:tc>
          <w:tcPr>
            <w:tcW w:w="0" w:type="dxa"/>
            <w:vAlign w:val="bottom"/>
          </w:tcPr>
          <w:p>
            <w:pPr>
              <w:spacing w:after="0"/>
              <w:rPr>
                <w:sz w:val="1"/>
                <w:szCs w:val="1"/>
                <w:color w:val="auto"/>
              </w:rPr>
            </w:pPr>
          </w:p>
        </w:tc>
      </w:tr>
      <w:tr>
        <w:trPr>
          <w:trHeight w:val="393"/>
        </w:trPr>
        <w:tc>
          <w:tcPr>
            <w:tcW w:w="4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Nichole R. Mercier, PhD</w:t>
            </w:r>
          </w:p>
        </w:tc>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Dr. Shankar Musunuri</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Asst. Vice Chancellor &amp; Managing Director Office of</w:t>
            </w:r>
          </w:p>
        </w:tc>
        <w:tc>
          <w:tcPr>
            <w:tcW w:w="3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Technology Management</w:t>
            </w:r>
          </w:p>
        </w:tc>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Chairman and CEO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ACTIVE/127698991.3</w:t>
      </w:r>
    </w:p>
    <w:p>
      <w:pPr>
        <w:sectPr>
          <w:pgSz w:w="11900" w:h="16838" w:orient="portrait"/>
          <w:cols w:equalWidth="0" w:num="1">
            <w:col w:w="11220"/>
          </w:cols>
          <w:pgMar w:left="340" w:top="1440"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4560" w:type="dxa"/>
            <w:vAlign w:val="bottom"/>
            <w:gridSpan w:val="3"/>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rPr>
              <w:t>Ocugen, Inc.</w:t>
            </w:r>
          </w:p>
        </w:tc>
      </w:tr>
      <w:tr>
        <w:trPr>
          <w:trHeight w:val="238"/>
        </w:trPr>
        <w:tc>
          <w:tcPr>
            <w:tcW w:w="2860" w:type="dxa"/>
            <w:vAlign w:val="bottom"/>
          </w:tcPr>
          <w:p>
            <w:pPr>
              <w:spacing w:after="0"/>
              <w:rPr>
                <w:sz w:val="20"/>
                <w:szCs w:val="20"/>
                <w:color w:val="auto"/>
              </w:rPr>
            </w:pPr>
          </w:p>
        </w:tc>
        <w:tc>
          <w:tcPr>
            <w:tcW w:w="4560" w:type="dxa"/>
            <w:vAlign w:val="bottom"/>
            <w:gridSpan w:val="3"/>
          </w:tcPr>
          <w:p>
            <w:pPr>
              <w:jc w:val="center"/>
              <w:ind w:right="2790"/>
              <w:spacing w:after="0"/>
              <w:rPr>
                <w:sz w:val="20"/>
                <w:szCs w:val="20"/>
                <w:color w:val="auto"/>
              </w:rPr>
            </w:pPr>
            <w:r>
              <w:rPr>
                <w:rFonts w:ascii="Times New Roman" w:cs="Times New Roman" w:eastAsia="Times New Roman" w:hAnsi="Times New Roman"/>
                <w:sz w:val="18"/>
                <w:szCs w:val="18"/>
                <w:b w:val="1"/>
                <w:bCs w:val="1"/>
                <w:color w:val="auto"/>
                <w:w w:val="99"/>
              </w:rPr>
              <w:t>List of Subsidiaries</w:t>
            </w:r>
          </w:p>
        </w:tc>
      </w:tr>
      <w:tr>
        <w:trPr>
          <w:trHeight w:val="49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Wholly-Owned Subsidiary</w:t>
            </w: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Ocugen Limited</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Ocugen OpCo, Inc.</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Histogenics Securities Corporation</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7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Vaccigen Ltd.</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bl>
    <w:p>
      <w:pPr>
        <w:sectPr>
          <w:pgSz w:w="11900" w:h="16838" w:orient="portrait"/>
          <w:cols w:equalWidth="0" w:num="1">
            <w:col w:w="10120"/>
          </w:cols>
          <w:pgMar w:left="1440" w:top="1413"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333-234127) of Ocugen, Inc.,</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333-237454) pertaining to the Ocugen, Inc. 2019 Equity Incentive Plan and the Ocugen, Inc. 2014 Stock Option Plan,</w:t>
      </w: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333-254549) pertaining to the Ocugen, Inc. 2019 Equity Incentive Plan,</w:t>
      </w:r>
    </w:p>
    <w:p>
      <w:pPr>
        <w:spacing w:after="0" w:line="9" w:lineRule="exact"/>
        <w:rPr>
          <w:rFonts w:ascii="Times New Roman" w:cs="Times New Roman" w:eastAsia="Times New Roman" w:hAnsi="Times New Roman"/>
          <w:sz w:val="18"/>
          <w:szCs w:val="18"/>
          <w:color w:val="auto"/>
        </w:rPr>
      </w:pPr>
    </w:p>
    <w:p>
      <w:pPr>
        <w:ind w:left="660" w:right="300" w:hanging="328"/>
        <w:spacing w:after="0" w:line="242"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333-263063) pertaining to the Ocugen, Inc. Inducement Stock Option and Restricted Stock Unit Awards (June 2021 – February 2022),</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333-263064) pertaining to the Ocugen, Inc. 2019 Equity Incentive Plan,</w:t>
      </w:r>
    </w:p>
    <w:p>
      <w:pPr>
        <w:spacing w:after="0" w:line="9" w:lineRule="exact"/>
        <w:rPr>
          <w:rFonts w:ascii="Times New Roman" w:cs="Times New Roman" w:eastAsia="Times New Roman" w:hAnsi="Times New Roman"/>
          <w:sz w:val="18"/>
          <w:szCs w:val="18"/>
          <w:color w:val="auto"/>
        </w:rPr>
      </w:pPr>
    </w:p>
    <w:p>
      <w:pPr>
        <w:ind w:left="660" w:right="300" w:hanging="328"/>
        <w:spacing w:after="0" w:line="235"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333-270082) pertaining to the Ocugen, Inc. Inducement Stock Option and Restricted Stock Unit Awards (March 2022 – September 2022), and</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333-270083) pertaining to the Ocugen, Inc. 2019 Equity Incentive Plan;</w:t>
      </w:r>
    </w:p>
    <w:p>
      <w:pPr>
        <w:spacing w:after="0" w:line="2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our report dated April 16, 2024, with respect to the consolidated financial statements of Ocugen, Inc. included in this Annual Report (Form 10-K) of Ocugen, Inc. for the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2024</w:t>
      </w:r>
    </w:p>
    <w:p>
      <w:pPr>
        <w:sectPr>
          <w:pgSz w:w="11900" w:h="16838" w:orient="portrait"/>
          <w:cols w:equalWidth="0" w:num="1">
            <w:col w:w="11240"/>
          </w:cols>
          <w:pgMar w:left="320" w:top="1413"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Shankar Musunuri, certify that:</w:t>
      </w:r>
    </w:p>
    <w:p>
      <w:pPr>
        <w:spacing w:after="0" w:line="225"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Ocugen,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720"/>
        <w:spacing w:after="0"/>
        <w:tabs>
          <w:tab w:leader="none" w:pos="4320" w:val="left"/>
        </w:tabs>
        <w:rPr>
          <w:sz w:val="20"/>
          <w:szCs w:val="20"/>
          <w:color w:val="auto"/>
        </w:rPr>
      </w:pPr>
      <w:r>
        <w:rPr>
          <w:rFonts w:ascii="Times New Roman" w:cs="Times New Roman" w:eastAsia="Times New Roman" w:hAnsi="Times New Roman"/>
          <w:sz w:val="18"/>
          <w:szCs w:val="18"/>
          <w:color w:val="auto"/>
        </w:rPr>
        <w:t>Date: April 16, 2024</w:t>
        <w:tab/>
        <w:t>/s/ Shankar Musunuri,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34290</wp:posOffset>
            </wp:positionV>
            <wp:extent cx="443166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8">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5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Shankar Musunuri, Ph.D., MBA</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Chairman, Chief Executive Officer, &amp; Co-Founder</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Breininger, certify that:</w:t>
      </w:r>
    </w:p>
    <w:p>
      <w:pPr>
        <w:spacing w:after="0" w:line="225"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Ocugen,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660" w:right="20" w:hanging="328"/>
        <w:spacing w:after="0" w:line="266"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720"/>
        <w:spacing w:after="0"/>
        <w:tabs>
          <w:tab w:leader="none" w:pos="4320" w:val="left"/>
        </w:tabs>
        <w:rPr>
          <w:sz w:val="20"/>
          <w:szCs w:val="20"/>
          <w:color w:val="auto"/>
        </w:rPr>
      </w:pPr>
      <w:r>
        <w:rPr>
          <w:rFonts w:ascii="Times New Roman" w:cs="Times New Roman" w:eastAsia="Times New Roman" w:hAnsi="Times New Roman"/>
          <w:sz w:val="18"/>
          <w:szCs w:val="18"/>
          <w:color w:val="auto"/>
        </w:rPr>
        <w:t>Date: April 16, 2024</w:t>
      </w:r>
      <w:r>
        <w:rPr>
          <w:sz w:val="20"/>
          <w:szCs w:val="20"/>
          <w:color w:val="auto"/>
        </w:rPr>
        <w:tab/>
      </w:r>
      <w:r>
        <w:rPr>
          <w:rFonts w:ascii="Times New Roman" w:cs="Times New Roman" w:eastAsia="Times New Roman" w:hAnsi="Times New Roman"/>
          <w:sz w:val="17"/>
          <w:szCs w:val="17"/>
          <w:color w:val="auto"/>
        </w:rPr>
        <w:t>/s/ Michael Breininger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34290</wp:posOffset>
            </wp:positionV>
            <wp:extent cx="443166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9">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5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Michael Breininger, CPA, MBA, LSSBB</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Corporate Controller, Interim Chief Accounting Officer</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03"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3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Ocugen, Inc. (the Company), does hereby certify, to the best of such officer’s knowledge, that: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2023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38" w:lineRule="exact"/>
        <w:rPr>
          <w:sz w:val="20"/>
          <w:szCs w:val="20"/>
          <w:color w:val="auto"/>
        </w:rPr>
      </w:pPr>
    </w:p>
    <w:p>
      <w:pPr>
        <w:ind w:left="3800"/>
        <w:spacing w:after="0"/>
        <w:tabs>
          <w:tab w:leader="none" w:pos="5420" w:val="left"/>
        </w:tabs>
        <w:rPr>
          <w:sz w:val="20"/>
          <w:szCs w:val="20"/>
          <w:color w:val="auto"/>
        </w:rPr>
      </w:pPr>
      <w:r>
        <w:rPr>
          <w:rFonts w:ascii="Times New Roman" w:cs="Times New Roman" w:eastAsia="Times New Roman" w:hAnsi="Times New Roman"/>
          <w:sz w:val="18"/>
          <w:szCs w:val="18"/>
          <w:color w:val="auto"/>
        </w:rPr>
        <w:t>Date: April 16, 2024</w:t>
      </w:r>
      <w:r>
        <w:rPr>
          <w:sz w:val="20"/>
          <w:szCs w:val="20"/>
          <w:color w:val="auto"/>
        </w:rPr>
        <w:tab/>
      </w:r>
      <w:r>
        <w:rPr>
          <w:rFonts w:ascii="Times New Roman" w:cs="Times New Roman" w:eastAsia="Times New Roman" w:hAnsi="Times New Roman"/>
          <w:sz w:val="17"/>
          <w:szCs w:val="17"/>
          <w:color w:val="auto"/>
        </w:rPr>
        <w:t>/s/ Shankar Musunuri,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34290</wp:posOffset>
            </wp:positionV>
            <wp:extent cx="376301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0">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Shankar Musunuri, Ph.D., MBA</w:t>
      </w:r>
    </w:p>
    <w:p>
      <w:pPr>
        <w:spacing w:after="0" w:line="6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Chairman, Chief Executive Officer, &amp; Co-Founder</w:t>
      </w:r>
    </w:p>
    <w:p>
      <w:pPr>
        <w:spacing w:after="0" w:line="6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6" w:lineRule="exact"/>
        <w:rPr>
          <w:sz w:val="20"/>
          <w:szCs w:val="20"/>
          <w:color w:val="auto"/>
        </w:rPr>
      </w:pPr>
    </w:p>
    <w:p>
      <w:pPr>
        <w:ind w:left="3800"/>
        <w:spacing w:after="0"/>
        <w:tabs>
          <w:tab w:leader="none" w:pos="5420" w:val="left"/>
        </w:tabs>
        <w:rPr>
          <w:sz w:val="20"/>
          <w:szCs w:val="20"/>
          <w:color w:val="auto"/>
        </w:rPr>
      </w:pPr>
      <w:r>
        <w:rPr>
          <w:rFonts w:ascii="Times New Roman" w:cs="Times New Roman" w:eastAsia="Times New Roman" w:hAnsi="Times New Roman"/>
          <w:sz w:val="18"/>
          <w:szCs w:val="18"/>
          <w:color w:val="auto"/>
        </w:rPr>
        <w:t>Date: April 16, 2024</w:t>
      </w:r>
      <w:r>
        <w:rPr>
          <w:sz w:val="20"/>
          <w:szCs w:val="20"/>
          <w:color w:val="auto"/>
        </w:rPr>
        <w:tab/>
      </w:r>
      <w:r>
        <w:rPr>
          <w:rFonts w:ascii="Times New Roman" w:cs="Times New Roman" w:eastAsia="Times New Roman" w:hAnsi="Times New Roman"/>
          <w:sz w:val="17"/>
          <w:szCs w:val="17"/>
          <w:color w:val="auto"/>
        </w:rPr>
        <w:t>/s/ Michael Breininger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34290</wp:posOffset>
            </wp:positionV>
            <wp:extent cx="37630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1">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Michael Breininger, CPA, MBA, LSSBB</w:t>
      </w:r>
    </w:p>
    <w:p>
      <w:pPr>
        <w:spacing w:after="0" w:line="6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Corporate Controller, Interim Chief Accounting Officer</w:t>
      </w:r>
    </w:p>
    <w:p>
      <w:pPr>
        <w:spacing w:after="0" w:line="6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 This certification "accompanies" the Form 10-K to which it relates, is not deemed filed with the SEC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240"/>
          </w:cols>
          <w:pgMar w:left="320" w:top="1103" w:right="339" w:bottom="1440" w:gutter="0" w:footer="0" w:header="0"/>
        </w:sectPr>
      </w:pPr>
    </w:p>
    <w:bookmarkStart w:id="164" w:name="page165"/>
    <w:bookmarkEnd w:id="164"/>
    <w:p>
      <w:pPr>
        <w:spacing w:after="0" w:line="16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OCUGEN, INC.</w:t>
      </w:r>
    </w:p>
    <w:p>
      <w:pPr>
        <w:spacing w:after="0" w:line="22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as of September 15, 2023</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Ocugen,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amended and restated Compensation Recovery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described below. This Policy amends and restates the Clawback Policy previously adopted by the Board on December 9, 2021.</w:t>
      </w:r>
    </w:p>
    <w:p>
      <w:pPr>
        <w:spacing w:after="0" w:line="148" w:lineRule="exact"/>
        <w:rPr>
          <w:sz w:val="20"/>
          <w:szCs w:val="20"/>
          <w:color w:val="auto"/>
        </w:rPr>
      </w:pPr>
    </w:p>
    <w:p>
      <w:pPr>
        <w:ind w:left="380" w:hanging="372"/>
        <w:spacing w:after="0"/>
        <w:tabs>
          <w:tab w:leader="none" w:pos="38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This Policy sets forth the circumstances and procedures under which the Company shall recover Erroneously Awarded Compensation from Covered Persons (as defined below) in accordance with rules issued by the United States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the Exchange. Capitalized terms used and not otherwise defined herein shall have the meanings set forth in Section 3 below.</w:t>
      </w:r>
    </w:p>
    <w:p>
      <w:pPr>
        <w:spacing w:after="0" w:line="148" w:lineRule="exact"/>
        <w:rPr>
          <w:sz w:val="20"/>
          <w:szCs w:val="20"/>
          <w:color w:val="auto"/>
        </w:rPr>
      </w:pPr>
    </w:p>
    <w:p>
      <w:pPr>
        <w:ind w:left="380" w:hanging="372"/>
        <w:spacing w:after="0"/>
        <w:tabs>
          <w:tab w:leader="none" w:pos="38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Requirement</w:t>
      </w:r>
    </w:p>
    <w:p>
      <w:pPr>
        <w:spacing w:after="0" w:line="18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In the event the Company is required to prepare a Material Financial Restatement, the Company shall recover reasonably promptly all Erroneously Awarded Compensation with respect to such Material Financial Restatement.</w:t>
      </w:r>
    </w:p>
    <w:p>
      <w:pPr>
        <w:spacing w:after="0" w:line="146" w:lineRule="exact"/>
        <w:rPr>
          <w:sz w:val="20"/>
          <w:szCs w:val="20"/>
          <w:color w:val="auto"/>
        </w:rPr>
      </w:pPr>
    </w:p>
    <w:p>
      <w:pPr>
        <w:ind w:left="380" w:hanging="372"/>
        <w:spacing w:after="0"/>
        <w:tabs>
          <w:tab w:leader="none" w:pos="38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83" w:lineRule="exact"/>
        <w:rPr>
          <w:rFonts w:ascii="Times New Roman" w:cs="Times New Roman" w:eastAsia="Times New Roman" w:hAnsi="Times New Roman"/>
          <w:sz w:val="22"/>
          <w:szCs w:val="22"/>
          <w:b w:val="1"/>
          <w:bCs w:val="1"/>
          <w:color w:val="auto"/>
        </w:rPr>
      </w:pPr>
    </w:p>
    <w:p>
      <w:pPr>
        <w:jc w:val="both"/>
        <w:ind w:left="980" w:hanging="324"/>
        <w:spacing w:after="0" w:line="217" w:lineRule="auto"/>
        <w:tabs>
          <w:tab w:leader="none" w:pos="968"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Recovery Period</w:t>
      </w:r>
      <w:r>
        <w:rPr>
          <w:rFonts w:ascii="Times New Roman" w:cs="Times New Roman" w:eastAsia="Times New Roman" w:hAnsi="Times New Roman"/>
          <w:sz w:val="22"/>
          <w:szCs w:val="22"/>
          <w:color w:val="auto"/>
        </w:rPr>
        <w:t>” means, the three completed fiscal years immediately preceding the Restatement Date for a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52" w:lineRule="exact"/>
        <w:rPr>
          <w:rFonts w:ascii="Times New Roman" w:cs="Times New Roman" w:eastAsia="Times New Roman" w:hAnsi="Times New Roman"/>
          <w:sz w:val="22"/>
          <w:szCs w:val="22"/>
          <w:color w:val="auto"/>
        </w:rPr>
      </w:pPr>
    </w:p>
    <w:p>
      <w:pPr>
        <w:jc w:val="both"/>
        <w:ind w:left="980" w:right="20" w:hanging="324"/>
        <w:spacing w:after="0" w:line="225" w:lineRule="auto"/>
        <w:tabs>
          <w:tab w:leader="none" w:pos="98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Rules</w:t>
      </w:r>
      <w:r>
        <w:rPr>
          <w:rFonts w:ascii="Times New Roman" w:cs="Times New Roman" w:eastAsia="Times New Roman" w:hAnsi="Times New Roman"/>
          <w:sz w:val="22"/>
          <w:szCs w:val="22"/>
          <w:color w:val="auto"/>
        </w:rPr>
        <w:t>” means any rules or regulations adopted by the Exchange pursuant to Rule 10D-1 under the Exchange Act and any applicable rules or regulations adopted by the SEC pursuant to Section 10D of the Exchange Act.</w:t>
      </w:r>
    </w:p>
    <w:p>
      <w:pPr>
        <w:spacing w:after="0" w:line="152"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color w:val="auto"/>
        </w:rPr>
      </w:pPr>
    </w:p>
    <w:p>
      <w:pPr>
        <w:ind w:left="980" w:hanging="324"/>
        <w:spacing w:after="0" w:line="236" w:lineRule="auto"/>
        <w:tabs>
          <w:tab w:leader="none" w:pos="98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in the absence of such committee, a majority of independent directors serving on the Board.</w:t>
      </w:r>
    </w:p>
    <w:p>
      <w:pPr>
        <w:spacing w:after="0" w:line="150" w:lineRule="exact"/>
        <w:rPr>
          <w:rFonts w:ascii="Times New Roman" w:cs="Times New Roman" w:eastAsia="Times New Roman" w:hAnsi="Times New Roman"/>
          <w:sz w:val="22"/>
          <w:szCs w:val="22"/>
          <w:color w:val="auto"/>
        </w:rPr>
      </w:pPr>
    </w:p>
    <w:p>
      <w:pPr>
        <w:jc w:val="both"/>
        <w:ind w:left="980" w:hanging="324"/>
        <w:spacing w:after="0" w:line="213" w:lineRule="auto"/>
        <w:tabs>
          <w:tab w:leader="none" w:pos="968"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 means any Executive Officer. A person’s status as a Covered Person with respect to Erroneously Awarded Compensation shall be determined as of the time of receipt of such Erroneously Awarded Compensation regardless of such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ACTIVE/123500723.1</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31" w:lineRule="exact"/>
        <w:rPr>
          <w:sz w:val="20"/>
          <w:szCs w:val="20"/>
          <w:color w:val="auto"/>
        </w:rPr>
      </w:pPr>
    </w:p>
    <w:p>
      <w:pPr>
        <w:ind w:left="960"/>
        <w:spacing w:after="0" w:line="236" w:lineRule="auto"/>
        <w:rPr>
          <w:sz w:val="20"/>
          <w:szCs w:val="20"/>
          <w:color w:val="auto"/>
        </w:rPr>
      </w:pPr>
      <w:r>
        <w:rPr>
          <w:rFonts w:ascii="Times New Roman" w:cs="Times New Roman" w:eastAsia="Times New Roman" w:hAnsi="Times New Roman"/>
          <w:sz w:val="22"/>
          <w:szCs w:val="22"/>
          <w:color w:val="auto"/>
        </w:rPr>
        <w:t>such person served as an Executive Officer at any time during the performance period for such Erroneously Awarded Compensation).</w:t>
      </w:r>
    </w:p>
    <w:p>
      <w:pPr>
        <w:spacing w:after="0" w:line="150" w:lineRule="exact"/>
        <w:rPr>
          <w:sz w:val="20"/>
          <w:szCs w:val="20"/>
          <w:color w:val="auto"/>
        </w:rPr>
      </w:pPr>
    </w:p>
    <w:p>
      <w:pPr>
        <w:ind w:left="960" w:hanging="324"/>
        <w:spacing w:after="0"/>
        <w:tabs>
          <w:tab w:leader="none" w:pos="9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September 15, 2023.</w:t>
      </w:r>
    </w:p>
    <w:p>
      <w:pPr>
        <w:spacing w:after="0" w:line="179" w:lineRule="exact"/>
        <w:rPr>
          <w:rFonts w:ascii="Times New Roman" w:cs="Times New Roman" w:eastAsia="Times New Roman" w:hAnsi="Times New Roman"/>
          <w:sz w:val="22"/>
          <w:szCs w:val="22"/>
          <w:color w:val="auto"/>
        </w:rPr>
      </w:pPr>
    </w:p>
    <w:p>
      <w:pPr>
        <w:jc w:val="both"/>
        <w:ind w:left="960" w:hanging="324"/>
        <w:spacing w:after="0" w:line="210" w:lineRule="auto"/>
        <w:tabs>
          <w:tab w:leader="none" w:pos="9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151" w:lineRule="exact"/>
        <w:rPr>
          <w:rFonts w:ascii="Times New Roman" w:cs="Times New Roman" w:eastAsia="Times New Roman" w:hAnsi="Times New Roman"/>
          <w:sz w:val="22"/>
          <w:szCs w:val="22"/>
          <w:color w:val="auto"/>
        </w:rPr>
      </w:pPr>
    </w:p>
    <w:p>
      <w:pPr>
        <w:ind w:left="960" w:hanging="324"/>
        <w:spacing w:after="0"/>
        <w:tabs>
          <w:tab w:leader="none" w:pos="9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means the Nasdaq Stock Market LLC.</w:t>
      </w:r>
    </w:p>
    <w:p>
      <w:pPr>
        <w:spacing w:after="0" w:line="179" w:lineRule="exact"/>
        <w:rPr>
          <w:rFonts w:ascii="Times New Roman" w:cs="Times New Roman" w:eastAsia="Times New Roman" w:hAnsi="Times New Roman"/>
          <w:sz w:val="22"/>
          <w:szCs w:val="22"/>
          <w:color w:val="auto"/>
        </w:rPr>
      </w:pPr>
    </w:p>
    <w:p>
      <w:pPr>
        <w:jc w:val="both"/>
        <w:ind w:left="960" w:hanging="324"/>
        <w:spacing w:after="0" w:line="213" w:lineRule="auto"/>
        <w:tabs>
          <w:tab w:leader="none" w:pos="95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any person who served the Company in any of the following roles at any time during the performance period for Incentive-Based Compensation: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156" w:lineRule="exact"/>
        <w:rPr>
          <w:rFonts w:ascii="Times New Roman" w:cs="Times New Roman" w:eastAsia="Times New Roman" w:hAnsi="Times New Roman"/>
          <w:sz w:val="22"/>
          <w:szCs w:val="22"/>
          <w:color w:val="auto"/>
        </w:rPr>
      </w:pPr>
    </w:p>
    <w:p>
      <w:pPr>
        <w:jc w:val="both"/>
        <w:ind w:left="960" w:hanging="324"/>
        <w:spacing w:after="0" w:line="236" w:lineRule="auto"/>
        <w:tabs>
          <w:tab w:leader="none" w:pos="95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Reporting Measures</w:t>
      </w:r>
      <w:r>
        <w:rPr>
          <w:rFonts w:ascii="Times New Roman" w:cs="Times New Roman" w:eastAsia="Times New Roman" w:hAnsi="Times New Roman"/>
          <w:sz w:val="21"/>
          <w:szCs w:val="21"/>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51" w:lineRule="exact"/>
        <w:rPr>
          <w:rFonts w:ascii="Times New Roman" w:cs="Times New Roman" w:eastAsia="Times New Roman" w:hAnsi="Times New Roman"/>
          <w:sz w:val="21"/>
          <w:szCs w:val="21"/>
          <w:color w:val="auto"/>
        </w:rPr>
      </w:pPr>
    </w:p>
    <w:p>
      <w:pPr>
        <w:jc w:val="both"/>
        <w:ind w:left="960" w:hanging="324"/>
        <w:spacing w:after="0" w:line="225" w:lineRule="auto"/>
        <w:tabs>
          <w:tab w:leader="none" w:pos="9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provided, directly or indirectly, by the Company or any of its subsidiaries that is granted, earned, or vested based, in whole or in part, upon the attainment of a Financial Reporting Measure.</w:t>
      </w:r>
    </w:p>
    <w:p>
      <w:pPr>
        <w:spacing w:after="0" w:line="152" w:lineRule="exact"/>
        <w:rPr>
          <w:rFonts w:ascii="Times New Roman" w:cs="Times New Roman" w:eastAsia="Times New Roman" w:hAnsi="Times New Roman"/>
          <w:sz w:val="22"/>
          <w:szCs w:val="22"/>
          <w:color w:val="auto"/>
        </w:rPr>
      </w:pPr>
    </w:p>
    <w:p>
      <w:pPr>
        <w:jc w:val="both"/>
        <w:ind w:left="960" w:hanging="324"/>
        <w:spacing w:after="0" w:line="217" w:lineRule="auto"/>
        <w:tabs>
          <w:tab w:leader="none" w:pos="95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Material Financial Restatement</w:t>
      </w:r>
      <w:r>
        <w:rPr>
          <w:rFonts w:ascii="Times New Roman" w:cs="Times New Roman" w:eastAsia="Times New Roman" w:hAnsi="Times New Roman"/>
          <w:sz w:val="22"/>
          <w:szCs w:val="22"/>
          <w:color w:val="auto"/>
        </w:rPr>
        <w:t>” 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pacing w:after="0" w:line="70" w:lineRule="exact"/>
        <w:rPr>
          <w:sz w:val="20"/>
          <w:szCs w:val="20"/>
          <w:color w:val="auto"/>
        </w:rPr>
      </w:pPr>
    </w:p>
    <w:p>
      <w:pPr>
        <w:spacing w:after="0"/>
        <w:rPr>
          <w:sz w:val="20"/>
          <w:szCs w:val="20"/>
          <w:color w:val="auto"/>
        </w:rPr>
      </w:pPr>
      <w:r>
        <w:rPr>
          <w:rFonts w:ascii="Calibri" w:cs="Calibri" w:eastAsia="Calibri" w:hAnsi="Calibri"/>
          <w:sz w:val="14"/>
          <w:szCs w:val="14"/>
          <w:color w:val="auto"/>
        </w:rPr>
        <w:t>ACTIVE/123500723.1</w:t>
      </w:r>
    </w:p>
    <w:p>
      <w:pPr>
        <w:sectPr>
          <w:pgSz w:w="11900" w:h="16838" w:orient="portrait"/>
          <w:cols w:equalWidth="0" w:num="1">
            <w:col w:w="11220"/>
          </w:cols>
          <w:pgMar w:left="340" w:top="1440" w:right="339" w:bottom="1440" w:gutter="0" w:footer="0" w:header="0"/>
        </w:sectPr>
      </w:pPr>
    </w:p>
    <w:bookmarkStart w:id="166" w:name="page167"/>
    <w:bookmarkEnd w:id="166"/>
    <w:p>
      <w:pPr>
        <w:spacing w:after="0" w:line="131" w:lineRule="exact"/>
        <w:rPr>
          <w:sz w:val="20"/>
          <w:szCs w:val="20"/>
          <w:color w:val="auto"/>
        </w:rPr>
      </w:pPr>
    </w:p>
    <w:p>
      <w:pPr>
        <w:jc w:val="both"/>
        <w:ind w:left="980" w:hanging="324"/>
        <w:spacing w:after="0" w:line="217" w:lineRule="auto"/>
        <w:tabs>
          <w:tab w:leader="none" w:pos="97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means, with respect to a Material Financial Restatement, the earlier to occur of: (i) the date the Board, a committee of the Board or the officer or officers of the Company authorized to take such action if Board action is not required, concludes, or reasonably should have concluded, that the Company is required to prepare the Material Financial Restatement or (ii) the date a court, regulator or other legally authorized body directs the Company to prepare the Material Financial Restatement.</w:t>
      </w:r>
    </w:p>
    <w:p>
      <w:pPr>
        <w:spacing w:after="0" w:line="148"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Compensation Recovery Requirement</w:t>
      </w:r>
    </w:p>
    <w:p>
      <w:pPr>
        <w:spacing w:after="0" w:line="18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48" w:lineRule="exact"/>
        <w:rPr>
          <w:sz w:val="20"/>
          <w:szCs w:val="20"/>
          <w:color w:val="auto"/>
        </w:rPr>
      </w:pPr>
    </w:p>
    <w:p>
      <w:pPr>
        <w:ind w:left="380" w:hanging="372"/>
        <w:spacing w:after="0"/>
        <w:tabs>
          <w:tab w:leader="none" w:pos="3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Compensation Recovery</w:t>
      </w:r>
    </w:p>
    <w:p>
      <w:pPr>
        <w:spacing w:after="0" w:line="18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Committee shall determine, in its sole discretion, the method for recovering Erroneously Awarded Compensation hereunder, which may include, without limitation, any one or more of the following:</w:t>
      </w:r>
    </w:p>
    <w:p>
      <w:pPr>
        <w:spacing w:after="0" w:line="150" w:lineRule="exact"/>
        <w:rPr>
          <w:sz w:val="20"/>
          <w:szCs w:val="20"/>
          <w:color w:val="auto"/>
        </w:rPr>
      </w:pPr>
    </w:p>
    <w:p>
      <w:pPr>
        <w:ind w:left="1300" w:hanging="320"/>
        <w:spacing w:after="0"/>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Incentive-Based Compensation previously paid;</w:t>
      </w:r>
    </w:p>
    <w:p>
      <w:pPr>
        <w:spacing w:after="0" w:line="179" w:lineRule="exact"/>
        <w:rPr>
          <w:rFonts w:ascii="Times New Roman" w:cs="Times New Roman" w:eastAsia="Times New Roman" w:hAnsi="Times New Roman"/>
          <w:sz w:val="22"/>
          <w:szCs w:val="22"/>
          <w:color w:val="auto"/>
        </w:rPr>
      </w:pPr>
    </w:p>
    <w:p>
      <w:pPr>
        <w:ind w:left="1300" w:hanging="320"/>
        <w:spacing w:after="0" w:line="236" w:lineRule="auto"/>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0"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equity-based awards;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offsetting against planned future grants of equity-based awards; and/or</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by applicable law or contract.</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48" w:lineRule="exact"/>
        <w:rPr>
          <w:sz w:val="20"/>
          <w:szCs w:val="20"/>
          <w:color w:val="auto"/>
        </w:rPr>
      </w:pPr>
    </w:p>
    <w:p>
      <w:pPr>
        <w:ind w:left="440" w:hanging="432"/>
        <w:spacing w:after="0"/>
        <w:tabs>
          <w:tab w:leader="none" w:pos="44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Interpretation</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70"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ACTIVE/123500723.1</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3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circumstances besides those specified above, nothing in this Policy shall be deemed to limit or restrict the right or obligation of the Company to recover Incentive-Based Compensation to the fullest extent required by the Applicable Rules.</w:t>
      </w:r>
    </w:p>
    <w:p>
      <w:pPr>
        <w:spacing w:after="0" w:line="146" w:lineRule="exact"/>
        <w:rPr>
          <w:sz w:val="20"/>
          <w:szCs w:val="20"/>
          <w:color w:val="auto"/>
        </w:rPr>
      </w:pPr>
    </w:p>
    <w:p>
      <w:pPr>
        <w:ind w:left="380" w:hanging="372"/>
        <w:spacing w:after="0"/>
        <w:tabs>
          <w:tab w:leader="none" w:pos="38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Administration</w:t>
      </w:r>
    </w:p>
    <w:p>
      <w:pPr>
        <w:spacing w:after="0" w:line="18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46" w:lineRule="exact"/>
        <w:rPr>
          <w:sz w:val="20"/>
          <w:szCs w:val="20"/>
          <w:color w:val="auto"/>
        </w:rPr>
      </w:pPr>
    </w:p>
    <w:p>
      <w:pPr>
        <w:ind w:left="380" w:hanging="372"/>
        <w:spacing w:after="0"/>
        <w:tabs>
          <w:tab w:leader="none" w:pos="38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Repayments not Subject to Indemnification</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Notwithstanding anything to the contrary set forth in any agreement with, or the organizational documents of, the Company or any of its subsidiaries, Covered Persons are not entitled to indemnification for Erroneously Awarded Compensation recovered under this Policy and, to the extent any such agreement or organizational document purports to provide otherwise, Covered Persons hereby irrevocably agree to forego such indemnification.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83"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ACTIVE/123500723.1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1)"/>
      <w:numFmt w:val="decimal"/>
      <w:start w:val="3"/>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2"/>
    </w:lvl>
    <w:lvl w:ilvl="1">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1."/>
      <w:numFmt w:val="decimal"/>
      <w:start w:val="2"/>
    </w:lvl>
    <w:lvl w:ilvl="1">
      <w:lvlJc w:val="left"/>
      <w:lvlText w:val="•"/>
      <w:numFmt w:val="bullet"/>
      <w:start w:val="1"/>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decimal"/>
      <w:start w:val="1"/>
    </w:lvl>
    <w:lvl w:ilvl="1">
      <w:lvlJc w:val="left"/>
      <w:lvlText w:val="%2."/>
      <w:numFmt w:val="lowerLetter"/>
      <w:start w:val="1"/>
    </w:lvl>
  </w:abstractNum>
  <w:abstractNum w:abstractNumId="53">
    <w:nsid w:val="15B5AF5C"/>
    <w:multiLevelType w:val="hybridMultilevel"/>
    <w:lvl w:ilvl="0">
      <w:lvlJc w:val="left"/>
      <w:lvlText w:val="%1."/>
      <w:numFmt w:val="decimal"/>
      <w:start w:val="1"/>
    </w:lvl>
    <w:lvl w:ilvl="1">
      <w:lvlJc w:val="left"/>
      <w:lvlText w:val="%2."/>
      <w:numFmt w:val="lowerLetter"/>
      <w:start w:val="1"/>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2"/>
    </w:lvl>
  </w:abstractNum>
  <w:abstractNum w:abstractNumId="56">
    <w:nsid w:val="10233C99"/>
    <w:multiLevelType w:val="hybridMultilevel"/>
    <w:lvl w:ilvl="0">
      <w:lvlJc w:val="left"/>
      <w:lvlText w:val="%1."/>
      <w:numFmt w:val="decimal"/>
      <w:start w:val="3"/>
    </w:lvl>
    <w:lvl w:ilvl="1">
      <w:lvlJc w:val="left"/>
      <w:lvlText w:val="%2."/>
      <w:numFmt w:val="lowerLetter"/>
      <w:start w:val="1"/>
    </w:lvl>
  </w:abstractNum>
  <w:abstractNum w:abstractNumId="57">
    <w:nsid w:val="3F6AB60F"/>
    <w:multiLevelType w:val="hybridMultilevel"/>
    <w:lvl w:ilvl="0">
      <w:lvlJc w:val="left"/>
      <w:lvlText w:val="%1."/>
      <w:numFmt w:val="lowerLetter"/>
      <w:start w:val="6"/>
    </w:lvl>
  </w:abstractNum>
  <w:abstractNum w:abstractNumId="58">
    <w:nsid w:val="61574095"/>
    <w:multiLevelType w:val="hybridMultilevel"/>
    <w:lvl w:ilvl="0">
      <w:lvlJc w:val="left"/>
      <w:lvlText w:val="%1"/>
      <w:numFmt w:val="decimal"/>
      <w:start w:val="1"/>
    </w:lvl>
    <w:lvl w:ilvl="1">
      <w:lvlJc w:val="left"/>
      <w:lvlText w:val="%2."/>
      <w:numFmt w:val="lowerLetter"/>
      <w:start w:val="13"/>
    </w:lvl>
  </w:abstractNum>
  <w:abstractNum w:abstractNumId="59">
    <w:nsid w:val="7E0C57B1"/>
    <w:multiLevelType w:val="hybridMultilevel"/>
    <w:lvl w:ilvl="0">
      <w:lvlJc w:val="left"/>
      <w:lvlText w:val="%1."/>
      <w:numFmt w:val="decimal"/>
      <w:start w:val="4"/>
    </w:lvl>
    <w:lvl w:ilvl="1">
      <w:lvlJc w:val="left"/>
      <w:lvlText w:val="%2"/>
      <w:numFmt w:val="lowerLetter"/>
      <w:start w:val="1"/>
    </w:lvl>
  </w:abstractNum>
  <w:abstractNum w:abstractNumId="60">
    <w:nsid w:val="77AE35EB"/>
    <w:multiLevelType w:val="hybridMultilevel"/>
    <w:lvl w:ilvl="0">
      <w:lvlJc w:val="left"/>
      <w:lvlText w:val="%1."/>
      <w:numFmt w:val="decimal"/>
      <w:start w:val="5"/>
    </w:lvl>
  </w:abstractNum>
  <w:abstractNum w:abstractNumId="61">
    <w:nsid w:val="579BE4F1"/>
    <w:multiLevelType w:val="hybridMultilevel"/>
    <w:lvl w:ilvl="0">
      <w:lvlJc w:val="left"/>
      <w:lvlText w:val="%1."/>
      <w:numFmt w:val="lowerLetter"/>
      <w:start w:val="1"/>
    </w:lvl>
  </w:abstractNum>
  <w:abstractNum w:abstractNumId="62">
    <w:nsid w:val="310C50B3"/>
    <w:multiLevelType w:val="hybridMultilevel"/>
    <w:lvl w:ilvl="0">
      <w:lvlJc w:val="left"/>
      <w:lvlText w:val="%1."/>
      <w:numFmt w:val="decimal"/>
      <w:start w:val="6"/>
    </w:lvl>
  </w:abstractNum>
  <w:abstractNum w:abstractNumId="63">
    <w:nsid w:val="5FF87E05"/>
    <w:multiLevelType w:val="hybridMultilevel"/>
    <w:lvl w:ilvl="0">
      <w:lvlJc w:val="left"/>
      <w:lvlText w:val="%1."/>
      <w:numFmt w:val="decimal"/>
      <w:start w:val="7"/>
    </w:lvl>
  </w:abstractNum>
  <w:abstractNum w:abstractNumId="64">
    <w:nsid w:val="2F305DEF"/>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8"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1"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178" Type="http://schemas.openxmlformats.org/officeDocument/2006/relationships/image" Target="media/image128.png"/><Relationship Id="rId179" Type="http://schemas.openxmlformats.org/officeDocument/2006/relationships/image" Target="media/image129.png"/><Relationship Id="rId180" Type="http://schemas.openxmlformats.org/officeDocument/2006/relationships/image" Target="media/image130.png"/><Relationship Id="rId181" Type="http://schemas.openxmlformats.org/officeDocument/2006/relationships/image" Target="media/image131.png"/><Relationship Id="rId182" Type="http://schemas.openxmlformats.org/officeDocument/2006/relationships/image" Target="media/image132.png"/><Relationship Id="rId183" Type="http://schemas.openxmlformats.org/officeDocument/2006/relationships/image" Target="media/image133.png"/><Relationship Id="rId184"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png"/><Relationship Id="rId208" Type="http://schemas.openxmlformats.org/officeDocument/2006/relationships/image" Target="media/image158.png"/><Relationship Id="rId209" Type="http://schemas.openxmlformats.org/officeDocument/2006/relationships/image" Target="media/image159.png"/><Relationship Id="rId210" Type="http://schemas.openxmlformats.org/officeDocument/2006/relationships/image" Target="media/image160.png"/><Relationship Id="rId211" Type="http://schemas.openxmlformats.org/officeDocument/2006/relationships/image" Target="media/image161.png"/><Relationship Id="rId212" Type="http://schemas.openxmlformats.org/officeDocument/2006/relationships/image" Target="media/image162.png"/><Relationship Id="rId213" Type="http://schemas.openxmlformats.org/officeDocument/2006/relationships/image" Target="media/image163.png"/><Relationship Id="rId214" Type="http://schemas.openxmlformats.org/officeDocument/2006/relationships/image" Target="media/image164.png"/><Relationship Id="rId215" Type="http://schemas.openxmlformats.org/officeDocument/2006/relationships/image" Target="media/image165.png"/><Relationship Id="rId216" Type="http://schemas.openxmlformats.org/officeDocument/2006/relationships/image" Target="media/image166.png"/><Relationship Id="rId217" Type="http://schemas.openxmlformats.org/officeDocument/2006/relationships/image" Target="media/image167.png"/><Relationship Id="rId218" Type="http://schemas.openxmlformats.org/officeDocument/2006/relationships/image" Target="media/image168.png"/><Relationship Id="rId219"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2" Type="http://schemas.openxmlformats.org/officeDocument/2006/relationships/image" Target="media/image172.png"/><Relationship Id="rId223" Type="http://schemas.openxmlformats.org/officeDocument/2006/relationships/image" Target="media/image173.png"/><Relationship Id="rId224" Type="http://schemas.openxmlformats.org/officeDocument/2006/relationships/image" Target="media/image174.png"/><Relationship Id="rId225" Type="http://schemas.openxmlformats.org/officeDocument/2006/relationships/image" Target="media/image175.png"/><Relationship Id="rId226" Type="http://schemas.openxmlformats.org/officeDocument/2006/relationships/image" Target="media/image176.png"/><Relationship Id="rId227" Type="http://schemas.openxmlformats.org/officeDocument/2006/relationships/image" Target="media/image177.png"/><Relationship Id="rId228" Type="http://schemas.openxmlformats.org/officeDocument/2006/relationships/image" Target="media/image178.png"/><Relationship Id="rId229" Type="http://schemas.openxmlformats.org/officeDocument/2006/relationships/image" Target="media/image179.png"/><Relationship Id="rId230" Type="http://schemas.openxmlformats.org/officeDocument/2006/relationships/image" Target="media/image180.png"/><Relationship Id="rId231" Type="http://schemas.openxmlformats.org/officeDocument/2006/relationships/image" Target="media/image181.png"/><Relationship Id="rId232" Type="http://schemas.openxmlformats.org/officeDocument/2006/relationships/image" Target="media/image182.png"/><Relationship Id="rId233" Type="http://schemas.openxmlformats.org/officeDocument/2006/relationships/image" Target="media/image183.png"/><Relationship Id="rId234" Type="http://schemas.openxmlformats.org/officeDocument/2006/relationships/image" Target="media/image184.png"/><Relationship Id="rId235" Type="http://schemas.openxmlformats.org/officeDocument/2006/relationships/image" Target="media/image185.png"/><Relationship Id="rId236" Type="http://schemas.openxmlformats.org/officeDocument/2006/relationships/image" Target="media/image186.png"/><Relationship Id="rId237" Type="http://schemas.openxmlformats.org/officeDocument/2006/relationships/image" Target="media/image187.png"/><Relationship Id="rId238" Type="http://schemas.openxmlformats.org/officeDocument/2006/relationships/image" Target="media/image188.png"/><Relationship Id="rId239" Type="http://schemas.openxmlformats.org/officeDocument/2006/relationships/image" Target="media/image189.png"/><Relationship Id="rId240" Type="http://schemas.openxmlformats.org/officeDocument/2006/relationships/image" Target="media/image190.png"/><Relationship Id="rId241" Type="http://schemas.openxmlformats.org/officeDocument/2006/relationships/image" Target="media/image191.png"/><Relationship Id="rId242" Type="http://schemas.openxmlformats.org/officeDocument/2006/relationships/image" Target="media/image192.png"/><Relationship Id="rId243" Type="http://schemas.openxmlformats.org/officeDocument/2006/relationships/image" Target="media/image193.png"/><Relationship Id="rId244" Type="http://schemas.openxmlformats.org/officeDocument/2006/relationships/image" Target="media/image194.png"/><Relationship Id="rId245" Type="http://schemas.openxmlformats.org/officeDocument/2006/relationships/image" Target="media/image195.png"/><Relationship Id="rId246" Type="http://schemas.openxmlformats.org/officeDocument/2006/relationships/image" Target="media/image196.jpeg"/><Relationship Id="rId247" Type="http://schemas.openxmlformats.org/officeDocument/2006/relationships/image" Target="media/image197.jpeg"/><Relationship Id="rId248" Type="http://schemas.openxmlformats.org/officeDocument/2006/relationships/image" Target="media/image198.png"/><Relationship Id="rId249" Type="http://schemas.openxmlformats.org/officeDocument/2006/relationships/image" Target="media/image199.png"/><Relationship Id="rId250" Type="http://schemas.openxmlformats.org/officeDocument/2006/relationships/image" Target="media/image200.png"/><Relationship Id="rId251" Type="http://schemas.openxmlformats.org/officeDocument/2006/relationships/image" Target="media/image201.png"/><Relationship Id="rId118" Type="http://schemas.openxmlformats.org/officeDocument/2006/relationships/hyperlink" Target="https://www.sec.gov/Archives/edgar/data/1372299/000119312514436359/d834595dex31.htm" TargetMode="External"/><Relationship Id="rId119" Type="http://schemas.openxmlformats.org/officeDocument/2006/relationships/hyperlink" Target="https://www.sec.gov/Archives/edgar/data/1372299/000110465919052266/a19-19180_3ex3d1.htm" TargetMode="External"/><Relationship Id="rId120" Type="http://schemas.openxmlformats.org/officeDocument/2006/relationships/hyperlink" Target="https://www.sec.gov/Archives/edgar/data/1372299/000110465919052266/a19-19180_3ex3d2.htm" TargetMode="External"/><Relationship Id="rId121" Type="http://schemas.openxmlformats.org/officeDocument/2006/relationships/hyperlink" Target="https://www.sec.gov/Archives/edgar/data/1372299/000162828021009457/ocgn-20210331x10qxex31.htm" TargetMode="External"/><Relationship Id="rId122" Type="http://schemas.openxmlformats.org/officeDocument/2006/relationships/hyperlink" Target="https://www.sec.gov/Archives/edgar/data/1372299/000119312516711655/d262403dex33.htm" TargetMode="External"/><Relationship Id="rId123" Type="http://schemas.openxmlformats.org/officeDocument/2006/relationships/hyperlink" Target="https://www.sec.gov/Archives/edgar/data/1372299/000162828021005124/ocgn-20201231x10kxex35.htm" TargetMode="External"/><Relationship Id="rId124" Type="http://schemas.openxmlformats.org/officeDocument/2006/relationships/hyperlink" Target="https://www.sec.gov/Archives/edgar/data/1372299/000162828023030128/ocgn-20230630x10qxex31.htm" TargetMode="External"/><Relationship Id="rId125" Type="http://schemas.openxmlformats.org/officeDocument/2006/relationships/hyperlink" Target="https://www.sec.gov/ix?doc=/Archives/edgar/data/1372299/000110465924036775/tm249388d1_8k.htm" TargetMode="External"/><Relationship Id="rId126" Type="http://schemas.openxmlformats.org/officeDocument/2006/relationships/hyperlink" Target="https://www.sec.gov/Archives/edgar/data/1372299/000162828022004085/ocgn-20211231x10kxex41.htm" TargetMode="External"/><Relationship Id="rId127" Type="http://schemas.openxmlformats.org/officeDocument/2006/relationships/hyperlink" Target="https://www.sec.gov/Archives/edgar/data/1372299/000162828021005124/ocgn-20201231x10kxex48.htm" TargetMode="External"/><Relationship Id="rId128" Type="http://schemas.openxmlformats.org/officeDocument/2006/relationships/hyperlink" Target="https://www.sec.gov/Archives/edgar/data/1372299/000119312519173827/d701045dex1030.htm" TargetMode="External"/><Relationship Id="rId129" Type="http://schemas.openxmlformats.org/officeDocument/2006/relationships/hyperlink" Target="https://www.sec.gov/Archives/edgar/data/1372299/000119312519173827/d701045dex1031.htm" TargetMode="External"/><Relationship Id="rId130" Type="http://schemas.openxmlformats.org/officeDocument/2006/relationships/hyperlink" Target="https://www.sec.gov/Archives/edgar/data/1372299/000119312519173827/d701045dex1032.htm" TargetMode="External"/><Relationship Id="rId131" Type="http://schemas.openxmlformats.org/officeDocument/2006/relationships/hyperlink" Target="https://www.sec.gov/Archives/edgar/data/1372299/000110465919061672/a19-22199_1def14a.htm#APPENDIXA_065112" TargetMode="External"/><Relationship Id="rId132" Type="http://schemas.openxmlformats.org/officeDocument/2006/relationships/hyperlink" Target="https://www.sec.gov/Archives/edgar/data/1372299/000162828023005382/ocgn-20221231x10kxex105.htm" TargetMode="External"/><Relationship Id="rId133" Type="http://schemas.openxmlformats.org/officeDocument/2006/relationships/hyperlink" Target="https://www.sec.gov/Archives/edgar/data/1372299/000162828023005382/ocgn-20221231x10kxex106.htm" TargetMode="External"/><Relationship Id="rId134" Type="http://schemas.openxmlformats.org/officeDocument/2006/relationships/hyperlink" Target="https://www.sec.gov/Archives/edgar/data/1372299/000162828023005382/ocgn-20221231x10kxex107.htm" TargetMode="External"/><Relationship Id="rId135" Type="http://schemas.openxmlformats.org/officeDocument/2006/relationships/hyperlink" Target="https://www.sec.gov/Archives/edgar/data/1372299/000162828021009457/ocgn-20210331x10qxex102.htm" TargetMode="External"/><Relationship Id="rId136" Type="http://schemas.openxmlformats.org/officeDocument/2006/relationships/hyperlink" Target="https://www.sec.gov/Archives/edgar/data/1372299/000162828023005382/ocgn-20221231x10kxex109.htm" TargetMode="External"/><Relationship Id="rId137" Type="http://schemas.openxmlformats.org/officeDocument/2006/relationships/hyperlink" Target="https://www.sec.gov/Archives/edgar/data/1372299/000162828023005382/ocgn-20221231x10kxex1010.htm" TargetMode="External"/><Relationship Id="rId139" Type="http://schemas.openxmlformats.org/officeDocument/2006/relationships/hyperlink" Target="https://www.sec.gov/Archives/edgar/data/1372299/000119312519173827/d701045dex1033.htm" TargetMode="External"/><Relationship Id="rId143" Type="http://schemas.openxmlformats.org/officeDocument/2006/relationships/hyperlink" Target="https://www.sec.gov/Archives/edgar/data/1372299/000119312519173827/d701045dex1034.htm" TargetMode="External"/><Relationship Id="rId144" Type="http://schemas.openxmlformats.org/officeDocument/2006/relationships/hyperlink" Target="https://www.sec.gov/Archives/edgar/data/1372299/000119312519173827/d701045dex1035.htm" TargetMode="External"/><Relationship Id="rId145" Type="http://schemas.openxmlformats.org/officeDocument/2006/relationships/hyperlink" Target="https://www.sec.gov/Archives/edgar/data/1372299/000119312519173827/d701045dex1037.htm" TargetMode="External"/><Relationship Id="rId146" Type="http://schemas.openxmlformats.org/officeDocument/2006/relationships/hyperlink" Target="https://www.sec.gov/Archives/edgar/data/1372299/000162828021009457/ocgn-20210331x10qxex101.htm" TargetMode="External"/><Relationship Id="rId147" Type="http://schemas.openxmlformats.org/officeDocument/2006/relationships/hyperlink" Target="https://www.sec.gov/Archives/edgar/data/1372299/000162828021015998/ocgn-20210630x10qxex101.htm" TargetMode="External"/><Relationship Id="rId148" Type="http://schemas.openxmlformats.org/officeDocument/2006/relationships/hyperlink" Target="https://www.sec.gov/Archives/edgar/data/1372299/000162828022012850/ocgn-20220331x10qxex101.htm" TargetMode="External"/><Relationship Id="rId149" Type="http://schemas.openxmlformats.org/officeDocument/2006/relationships/hyperlink" Target="https://www.sec.gov/Archives/edgar/data/1372299/000162828021022421/ocgn-20210930x10qxex101.htm" TargetMode="External"/><Relationship Id="rId150" Type="http://schemas.openxmlformats.org/officeDocument/2006/relationships/hyperlink" Target="https://www.sec.gov/Archives/edgar/data/1372299/000110465919062626/a19-21452_1ex10d2.htm" TargetMode="External"/><Relationship Id="rId151" Type="http://schemas.openxmlformats.org/officeDocument/2006/relationships/hyperlink" Target="https://www.sec.gov/Archives/edgar/data/1372299/000162828021022421/ocgn-20210930x10qxex102.htm" TargetMode="External"/><Relationship Id="rId152" Type="http://schemas.openxmlformats.org/officeDocument/2006/relationships/hyperlink" Target="https://www.sec.gov/Archives/edgar/data/1372299/000162828023005382/ocgn-20221231x10kxex1021.htm" TargetMode="External"/><Relationship Id="rId153" Type="http://schemas.openxmlformats.org/officeDocument/2006/relationships/hyperlink" Target="https://www.sec.gov/Archives/edgar/data/1372299/000162828022028775/ocgn-20220930x10qxex101.htm" TargetMode="External"/><Relationship Id="rId154" Type="http://schemas.openxmlformats.org/officeDocument/2006/relationships/hyperlink" Target="https://www.sec.gov/Archives/edgar/data/1372299/000162828023005382/ocgn-20221231x10kxex1023.htm" TargetMode="External"/><Relationship Id="rId155" Type="http://schemas.openxmlformats.org/officeDocument/2006/relationships/hyperlink" Target="https://www.sec.gov/Archives/edgar/data/1372299/000119312519199843/d701045dex1042.htm" TargetMode="External"/><Relationship Id="rId156" Type="http://schemas.openxmlformats.org/officeDocument/2006/relationships/hyperlink" Target="https://www.sec.gov/Archives/edgar/data/1372299/000110465919062626/a19-21452_1ex10d3.htm" TargetMode="External"/><Relationship Id="rId157" Type="http://schemas.openxmlformats.org/officeDocument/2006/relationships/hyperlink" Target="https://www.sec.gov/Archives/edgar/data/1372299/000162828020007094/ocgn-20200331x10qxex106.htm" TargetMode="External"/><Relationship Id="rId160" Type="http://schemas.openxmlformats.org/officeDocument/2006/relationships/hyperlink" Target="https://www.sec.gov/Archives/edgar/data/1372299/000110465920000923/tm201204d1_ex10-1.htm" TargetMode="External"/><Relationship Id="rId162" Type="http://schemas.openxmlformats.org/officeDocument/2006/relationships/hyperlink" Target="https://www.sec.gov/Archives/edgar/data/1372299/000162828022012850/ocgn-20220331x10qxex103.htm" TargetMode="External"/><Relationship Id="rId163" Type="http://schemas.openxmlformats.org/officeDocument/2006/relationships/hyperlink" Target="https://www.sec.gov/Archives/edgar/data/1372299/000162828022012850/ocgn-20220331x10qxex102.htm" TargetMode="External"/><Relationship Id="rId164" Type="http://schemas.openxmlformats.org/officeDocument/2006/relationships/hyperlink" Target="https://www.sec.gov/Archives/edgar/data/1372299/000162828023005382/ocgn-20221231x10kxex1030.htm" TargetMode="External"/><Relationship Id="rId165" Type="http://schemas.openxmlformats.org/officeDocument/2006/relationships/hyperlink" Target="https://www.sec.gov/Archives/edgar/data/1372299/000162828023005382/ocgn-20221231x10kxex1031.htm" TargetMode="External"/><Relationship Id="rId166" Type="http://schemas.openxmlformats.org/officeDocument/2006/relationships/hyperlink" Target="https://www.sec.gov/Archives/edgar/data/1372299/000119312514365761/d624561dex1020.htm" TargetMode="External"/><Relationship Id="rId167" Type="http://schemas.openxmlformats.org/officeDocument/2006/relationships/hyperlink" Target="https://www.sec.gov/Archives/edgar/data/1372299/000119312516679283/d212966dex10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2024-04-16T14:57:11Z</dcterms:created>
  <dcterms:modified xsi:type="dcterms:W3CDTF">2024-04-16T14:57:11Z</dcterms:modified>
</cp:coreProperties>
</file>